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1" w:rsidRPr="00965201" w:rsidRDefault="00965201" w:rsidP="0096520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Comic Sans MS" w:eastAsia="Times New Roman" w:hAnsi="Comic Sans MS" w:cs="Arial"/>
          <w:sz w:val="48"/>
          <w:szCs w:val="48"/>
          <w:lang w:eastAsia="ar-SA"/>
        </w:rPr>
      </w:pPr>
      <w:bookmarkStart w:id="0" w:name="_GoBack"/>
      <w:bookmarkEnd w:id="0"/>
      <w:r w:rsidRPr="00965201">
        <w:rPr>
          <w:rFonts w:ascii="Comic Sans MS" w:eastAsia="Times New Roman" w:hAnsi="Comic Sans MS" w:cs="Arial"/>
          <w:b/>
          <w:sz w:val="48"/>
          <w:szCs w:val="48"/>
          <w:lang w:eastAsia="ar-SA"/>
        </w:rPr>
        <w:t>LIGUE DE JUDO HAUTS DE FRANCE</w:t>
      </w:r>
    </w:p>
    <w:p w:rsidR="00965201" w:rsidRPr="00965201" w:rsidRDefault="00965201" w:rsidP="009652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65201">
        <w:rPr>
          <w:rFonts w:ascii="Times New Roman" w:eastAsia="Times New Roman" w:hAnsi="Times New Roman" w:cs="Times New Roman"/>
          <w:bCs/>
          <w:lang w:eastAsia="ar-SA"/>
        </w:rPr>
        <w:t xml:space="preserve">Dojo Régional 2 rue Lescouvé 80000 AMIENS </w:t>
      </w:r>
      <w:r w:rsidRPr="00965201">
        <w:rPr>
          <w:rFonts w:ascii="Wingdings" w:eastAsia="Times New Roman" w:hAnsi="Wingdings" w:cs="Times New Roman"/>
          <w:bCs/>
          <w:lang w:eastAsia="ar-SA"/>
        </w:rPr>
        <w:t></w:t>
      </w:r>
      <w:r w:rsidRPr="00965201">
        <w:rPr>
          <w:rFonts w:ascii="Times New Roman" w:eastAsia="Times New Roman" w:hAnsi="Times New Roman" w:cs="Times New Roman"/>
          <w:bCs/>
          <w:lang w:eastAsia="ar-SA"/>
        </w:rPr>
        <w:t> : 03.22.80.17.32</w:t>
      </w:r>
      <w:r w:rsidRPr="0096520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Mail : </w:t>
      </w:r>
      <w:hyperlink r:id="rId5" w:history="1">
        <w:r w:rsidRPr="00965201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ar-SA"/>
          </w:rPr>
          <w:t>ligue@hautsdefrancejudo.com</w:t>
        </w:r>
      </w:hyperlink>
    </w:p>
    <w:p w:rsidR="00965201" w:rsidRPr="00965201" w:rsidRDefault="00965201" w:rsidP="009652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5201" w:rsidRPr="00965201" w:rsidRDefault="00965201" w:rsidP="009652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65201">
        <w:rPr>
          <w:rFonts w:ascii="Times New Roman" w:eastAsia="Times New Roman" w:hAnsi="Times New Roman" w:cs="Times New Roman"/>
          <w:lang w:eastAsia="ar-SA"/>
        </w:rPr>
        <w:t xml:space="preserve">Eric BAILLEUL   :  1 place Ravel  62138  DOUVRIN - </w:t>
      </w:r>
      <w:r w:rsidRPr="00965201">
        <w:rPr>
          <w:rFonts w:ascii="Wingdings" w:eastAsia="Times New Roman" w:hAnsi="Wingdings" w:cs="Times New Roman"/>
          <w:lang w:eastAsia="ar-SA"/>
        </w:rPr>
        <w:t></w:t>
      </w:r>
      <w:r w:rsidRPr="00965201">
        <w:rPr>
          <w:rFonts w:ascii="Times New Roman" w:eastAsia="Times New Roman" w:hAnsi="Times New Roman" w:cs="Times New Roman"/>
          <w:lang w:eastAsia="ar-SA"/>
        </w:rPr>
        <w:t xml:space="preserve"> : 06.10.43.65.05 </w:t>
      </w:r>
      <w:r w:rsidRPr="0096520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Email : </w:t>
      </w:r>
      <w:hyperlink r:id="rId6" w:history="1">
        <w:r w:rsidRPr="0096520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ericbailleul@sfr.fr</w:t>
        </w:r>
      </w:hyperlink>
    </w:p>
    <w:p w:rsidR="00965201" w:rsidRPr="00965201" w:rsidRDefault="00965201" w:rsidP="00965201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5405" w:rsidRPr="00965201" w:rsidRDefault="00965201" w:rsidP="00965201">
      <w:pPr>
        <w:suppressAutoHyphens/>
        <w:spacing w:after="0" w:line="240" w:lineRule="auto"/>
        <w:jc w:val="center"/>
        <w:rPr>
          <w:rFonts w:ascii="Comic Sans MS" w:eastAsia="Times New Roman" w:hAnsi="Comic Sans MS" w:cs="Tahoma"/>
          <w:b/>
          <w:bCs/>
          <w:sz w:val="52"/>
          <w:szCs w:val="52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5201">
        <w:rPr>
          <w:rFonts w:ascii="Comic Sans MS" w:eastAsia="Times New Roman" w:hAnsi="Comic Sans MS" w:cs="Tahoma"/>
          <w:sz w:val="52"/>
          <w:szCs w:val="52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Comité d’Organisation Régional des Grades</w:t>
      </w:r>
    </w:p>
    <w:p w:rsidR="00965201" w:rsidRDefault="00965201" w:rsidP="0096520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color w:val="000000"/>
          <w:sz w:val="48"/>
          <w:szCs w:val="48"/>
          <w:u w:val="single"/>
          <w:lang w:eastAsia="fr-FR"/>
        </w:rPr>
      </w:pPr>
    </w:p>
    <w:p w:rsidR="00AF5405" w:rsidRDefault="00AF5405" w:rsidP="0096520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color w:val="000000"/>
          <w:sz w:val="48"/>
          <w:szCs w:val="48"/>
          <w:u w:val="single"/>
          <w:lang w:eastAsia="fr-FR"/>
        </w:rPr>
      </w:pPr>
      <w:r w:rsidRPr="00AF5405">
        <w:rPr>
          <w:rFonts w:eastAsia="Times New Roman" w:cstheme="minorHAnsi"/>
          <w:b/>
          <w:bCs/>
          <w:i/>
          <w:iCs/>
          <w:color w:val="000000"/>
          <w:sz w:val="48"/>
          <w:szCs w:val="48"/>
          <w:u w:val="single"/>
          <w:lang w:eastAsia="fr-FR"/>
        </w:rPr>
        <w:t>INFORMATION CORG</w:t>
      </w:r>
    </w:p>
    <w:p w:rsidR="00965201" w:rsidRDefault="00965201" w:rsidP="0096520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color w:val="000000"/>
          <w:sz w:val="48"/>
          <w:szCs w:val="48"/>
          <w:lang w:eastAsia="fr-FR"/>
        </w:rPr>
      </w:pPr>
      <w:r w:rsidRPr="00965201">
        <w:rPr>
          <w:rFonts w:eastAsia="Times New Roman" w:cstheme="minorHAnsi"/>
          <w:b/>
          <w:bCs/>
          <w:i/>
          <w:iCs/>
          <w:color w:val="000000"/>
          <w:sz w:val="48"/>
          <w:szCs w:val="48"/>
          <w:lang w:eastAsia="fr-FR"/>
        </w:rPr>
        <w:t>A partir du 1</w:t>
      </w:r>
      <w:r w:rsidRPr="00965201">
        <w:rPr>
          <w:rFonts w:eastAsia="Times New Roman" w:cstheme="minorHAnsi"/>
          <w:b/>
          <w:bCs/>
          <w:i/>
          <w:iCs/>
          <w:color w:val="000000"/>
          <w:sz w:val="48"/>
          <w:szCs w:val="48"/>
          <w:vertAlign w:val="superscript"/>
          <w:lang w:eastAsia="fr-FR"/>
        </w:rPr>
        <w:t>er</w:t>
      </w:r>
      <w:r w:rsidRPr="00965201">
        <w:rPr>
          <w:rFonts w:eastAsia="Times New Roman" w:cstheme="minorHAnsi"/>
          <w:b/>
          <w:bCs/>
          <w:i/>
          <w:iCs/>
          <w:color w:val="000000"/>
          <w:sz w:val="48"/>
          <w:szCs w:val="48"/>
          <w:lang w:eastAsia="fr-FR"/>
        </w:rPr>
        <w:t xml:space="preserve"> janvier 2019</w:t>
      </w:r>
    </w:p>
    <w:p w:rsidR="00965201" w:rsidRPr="00965201" w:rsidRDefault="00965201" w:rsidP="0096520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eastAsia="fr-FR"/>
        </w:rPr>
      </w:pPr>
    </w:p>
    <w:p w:rsidR="00D407E0" w:rsidRPr="00AF5405" w:rsidRDefault="00D407E0" w:rsidP="00AF5405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D407E0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fr-FR"/>
        </w:rPr>
        <w:t xml:space="preserve">PRECISION </w:t>
      </w:r>
      <w:r w:rsidR="00AF5405" w:rsidRPr="00AF5405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fr-FR"/>
        </w:rPr>
        <w:sym w:font="Wingdings" w:char="F046"/>
      </w:r>
      <w:r w:rsidR="00AF5405" w:rsidRPr="00AF5405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fr-FR"/>
        </w:rPr>
        <w:t xml:space="preserve">  </w:t>
      </w:r>
      <w:r w:rsidR="00AF5405" w:rsidRPr="00D407E0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fr-FR"/>
        </w:rPr>
        <w:t>TRANSITION DE L’ANCIENN</w:t>
      </w:r>
      <w:r w:rsidR="00AF5405" w:rsidRPr="00AF5405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fr-FR"/>
        </w:rPr>
        <w:t>E A LA NOUVELLE REGLEMENTATION</w:t>
      </w:r>
    </w:p>
    <w:p w:rsidR="00D407E0" w:rsidRPr="00D407E0" w:rsidRDefault="00D407E0" w:rsidP="00AF54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407E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FR"/>
        </w:rPr>
        <w:t xml:space="preserve">GRADE DOMINANTE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FR"/>
        </w:rPr>
        <w:t>COMPETITION</w:t>
      </w:r>
      <w:r w:rsidR="00AF540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Pr="00D407E0">
        <w:rPr>
          <w:rFonts w:eastAsia="Times New Roman" w:cstheme="minorHAnsi"/>
          <w:b/>
          <w:bCs/>
          <w:i/>
          <w:iCs/>
          <w:color w:val="C00000"/>
          <w:sz w:val="24"/>
          <w:szCs w:val="24"/>
          <w:lang w:eastAsia="fr-FR"/>
        </w:rPr>
        <w:t> </w:t>
      </w:r>
    </w:p>
    <w:p w:rsidR="00D407E0" w:rsidRDefault="00D407E0" w:rsidP="00AF540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407E0">
        <w:rPr>
          <w:rFonts w:eastAsia="Times New Roman" w:cstheme="minorHAnsi"/>
          <w:color w:val="000000"/>
          <w:sz w:val="24"/>
          <w:szCs w:val="24"/>
          <w:lang w:eastAsia="fr-FR"/>
        </w:rPr>
        <w:t>A partir du 1</w:t>
      </w:r>
      <w:r w:rsidRPr="00D407E0">
        <w:rPr>
          <w:rFonts w:eastAsia="Times New Roman" w:cstheme="minorHAnsi"/>
          <w:color w:val="000000"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janvier 2019, quel que soit l’année ou vous avez comptabilisé des points en RGC ou SHIAI ou même avoir obtenu le KATA (UV.1) </w:t>
      </w:r>
      <w:r w:rsidR="001D73CC">
        <w:rPr>
          <w:rFonts w:eastAsia="Times New Roman" w:cstheme="minorHAnsi"/>
          <w:color w:val="000000"/>
          <w:sz w:val="24"/>
          <w:szCs w:val="24"/>
          <w:lang w:eastAsia="fr-FR"/>
        </w:rPr>
        <w:t>et que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votre grade est toujours en cours vous avez l’obligation de p</w:t>
      </w:r>
      <w:r w:rsidR="001D73CC">
        <w:rPr>
          <w:rFonts w:eastAsia="Times New Roman" w:cstheme="minorHAnsi"/>
          <w:color w:val="000000"/>
          <w:sz w:val="24"/>
          <w:szCs w:val="24"/>
          <w:lang w:eastAsia="fr-FR"/>
        </w:rPr>
        <w:t>asser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l’examen UV.2</w:t>
      </w:r>
      <w:r w:rsidR="00AF5405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:rsidR="00AF5405" w:rsidRPr="00AF5405" w:rsidRDefault="00AF5405" w:rsidP="00AF5405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r-FR"/>
        </w:rPr>
      </w:pPr>
      <w:r w:rsidRPr="00AF5405">
        <w:rPr>
          <w:rFonts w:eastAsia="Times New Roman" w:cstheme="minorHAnsi"/>
          <w:b/>
          <w:color w:val="000000"/>
          <w:sz w:val="28"/>
          <w:szCs w:val="28"/>
          <w:u w:val="single"/>
          <w:lang w:eastAsia="fr-FR"/>
        </w:rPr>
        <w:t>Conclusion</w:t>
      </w:r>
      <w:r w:rsidRPr="00AF5405">
        <w:rPr>
          <w:rFonts w:eastAsia="Times New Roman" w:cstheme="minorHAnsi"/>
          <w:b/>
          <w:color w:val="000000"/>
          <w:sz w:val="28"/>
          <w:szCs w:val="28"/>
          <w:lang w:eastAsia="fr-FR"/>
        </w:rPr>
        <w:t> </w:t>
      </w:r>
      <w:r w:rsidRPr="00AF5405">
        <w:rPr>
          <w:rFonts w:eastAsia="Times New Roman" w:cstheme="minorHAnsi"/>
          <w:b/>
          <w:color w:val="000000"/>
          <w:sz w:val="28"/>
          <w:szCs w:val="28"/>
          <w:lang w:eastAsia="fr-FR"/>
        </w:rPr>
        <w:sym w:font="Wingdings" w:char="F046"/>
      </w:r>
      <w:r w:rsidRPr="00AF5405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 A partir du 1</w:t>
      </w:r>
      <w:r w:rsidRPr="00AF5405">
        <w:rPr>
          <w:rFonts w:eastAsia="Times New Roman" w:cstheme="minorHAnsi"/>
          <w:b/>
          <w:color w:val="000000"/>
          <w:sz w:val="28"/>
          <w:szCs w:val="28"/>
          <w:vertAlign w:val="superscript"/>
          <w:lang w:eastAsia="fr-FR"/>
        </w:rPr>
        <w:t>er</w:t>
      </w:r>
      <w:r w:rsidRPr="00AF5405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 janvier 2019, l’UV.2 est obligatoire pour TOUS</w:t>
      </w:r>
    </w:p>
    <w:p w:rsidR="00D407E0" w:rsidRPr="00D407E0" w:rsidRDefault="00D407E0" w:rsidP="00AF54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407E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FR"/>
        </w:rPr>
        <w:t>GRADE DOMINANTE TECHNIQUE (REGLE DES 30</w:t>
      </w:r>
      <w:r w:rsidR="00AF540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FR"/>
        </w:rPr>
        <w:t xml:space="preserve"> ANS)</w:t>
      </w:r>
      <w:r w:rsidRPr="00D407E0">
        <w:rPr>
          <w:rFonts w:eastAsia="Times New Roman" w:cstheme="minorHAnsi"/>
          <w:b/>
          <w:bCs/>
          <w:i/>
          <w:iCs/>
          <w:color w:val="C00000"/>
          <w:sz w:val="24"/>
          <w:szCs w:val="24"/>
          <w:lang w:eastAsia="fr-FR"/>
        </w:rPr>
        <w:t> </w:t>
      </w:r>
    </w:p>
    <w:p w:rsidR="00D407E0" w:rsidRPr="00D407E0" w:rsidRDefault="00D407E0" w:rsidP="00AF540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407E0">
        <w:rPr>
          <w:rFonts w:eastAsia="Times New Roman" w:cstheme="minorHAnsi"/>
          <w:color w:val="000000"/>
          <w:sz w:val="24"/>
          <w:szCs w:val="24"/>
          <w:lang w:eastAsia="fr-FR"/>
        </w:rPr>
        <w:t>A partir du 1</w:t>
      </w:r>
      <w:r w:rsidRPr="00D407E0">
        <w:rPr>
          <w:rFonts w:eastAsia="Times New Roman" w:cstheme="minorHAnsi"/>
          <w:color w:val="000000"/>
          <w:sz w:val="24"/>
          <w:szCs w:val="24"/>
          <w:vertAlign w:val="superscript"/>
          <w:lang w:eastAsia="fr-FR"/>
        </w:rPr>
        <w:t>er</w:t>
      </w:r>
      <w:r w:rsidRPr="00D407E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janvier 2019, les judokas né(e)s en </w:t>
      </w:r>
      <w:r w:rsidRPr="00D407E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1989 et avant</w:t>
      </w:r>
      <w:r w:rsidRPr="00D407E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qui auraient obtenu soit l’UV1 (kata), soit a minima une partie des UV techniques (2, 3, 4) sous le régime de l’ancienne réglementation par la  voie expression technique, pourront continuer les épreuves sous la dominante technique nouvelle réglementation.</w:t>
      </w:r>
    </w:p>
    <w:p w:rsidR="00D407E0" w:rsidRPr="00D407E0" w:rsidRDefault="00D407E0" w:rsidP="00D407E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fr-FR"/>
        </w:rPr>
      </w:pPr>
      <w:r w:rsidRPr="00D407E0">
        <w:rPr>
          <w:rFonts w:eastAsia="Times New Roman" w:cstheme="minorHAnsi"/>
          <w:bCs/>
          <w:sz w:val="24"/>
          <w:szCs w:val="24"/>
          <w:lang w:eastAsia="fr-FR"/>
        </w:rPr>
        <w:t>De plus, à partir du 1</w:t>
      </w:r>
      <w:r w:rsidRPr="00D407E0">
        <w:rPr>
          <w:rFonts w:eastAsia="Times New Roman" w:cstheme="minorHAnsi"/>
          <w:bCs/>
          <w:sz w:val="24"/>
          <w:szCs w:val="24"/>
          <w:vertAlign w:val="superscript"/>
          <w:lang w:eastAsia="fr-FR"/>
        </w:rPr>
        <w:t>er</w:t>
      </w:r>
      <w:r w:rsidRPr="00D407E0">
        <w:rPr>
          <w:rFonts w:eastAsia="Times New Roman" w:cstheme="minorHAnsi"/>
          <w:bCs/>
          <w:sz w:val="24"/>
          <w:szCs w:val="24"/>
          <w:lang w:eastAsia="fr-FR"/>
        </w:rPr>
        <w:t xml:space="preserve"> janvier 2019 et jusqu’au 31 Décembre 2019, les judokas de moins de 30 ans qui auraient obtenu soit l’UV1 (kata), soit a minima une partie des UV techniques (2, 3, 4) sous le régime de l’ancienne réglementation par la  voie expression technique, pourront continuer les épreuves sous la dominante technique nouvelle réglementation.</w:t>
      </w:r>
    </w:p>
    <w:p w:rsidR="00D407E0" w:rsidRPr="00D407E0" w:rsidRDefault="00D407E0" w:rsidP="00D407E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fr-FR"/>
        </w:rPr>
      </w:pPr>
      <w:r w:rsidRPr="00D407E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Cette disposition ne s’appliquera pas pour les judokas ayant obtenu uniquement le requis ou l’UV4 </w:t>
      </w:r>
      <w:r w:rsidRPr="00D407E0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(engagement personnel dans le développement du judo-jujitsu)</w:t>
      </w:r>
      <w:r w:rsidRPr="00D407E0"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:rsidR="00F639DB" w:rsidRDefault="00F639DB"/>
    <w:p w:rsidR="00AF5405" w:rsidRDefault="00AF5405" w:rsidP="00AF5405">
      <w:pPr>
        <w:spacing w:after="0"/>
        <w:jc w:val="center"/>
      </w:pPr>
      <w:r>
        <w:t>Le secrétaire CORG</w:t>
      </w:r>
    </w:p>
    <w:p w:rsidR="00AF5405" w:rsidRDefault="00AF5405" w:rsidP="00AF5405">
      <w:pPr>
        <w:spacing w:after="0"/>
        <w:jc w:val="center"/>
      </w:pPr>
      <w:r>
        <w:t>Eric BAILLEUL</w:t>
      </w:r>
    </w:p>
    <w:sectPr w:rsidR="00AF5405" w:rsidSect="00D407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A"/>
    <w:rsid w:val="001D73CC"/>
    <w:rsid w:val="00277870"/>
    <w:rsid w:val="008A2ABA"/>
    <w:rsid w:val="00965201"/>
    <w:rsid w:val="00AF5405"/>
    <w:rsid w:val="00D407E0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1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cbailleul@sfr.fr" TargetMode="External"/><Relationship Id="rId5" Type="http://schemas.openxmlformats.org/officeDocument/2006/relationships/hyperlink" Target="mailto:ligue@hautsdefranceju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BAILLEUL - U284722</dc:creator>
  <cp:lastModifiedBy>HAUTS DE FRANCE JUDO</cp:lastModifiedBy>
  <cp:revision>2</cp:revision>
  <dcterms:created xsi:type="dcterms:W3CDTF">2019-02-12T08:37:00Z</dcterms:created>
  <dcterms:modified xsi:type="dcterms:W3CDTF">2019-02-12T08:37:00Z</dcterms:modified>
</cp:coreProperties>
</file>