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F4AC" w14:textId="5E6C82A7" w:rsidR="00C33C99" w:rsidRPr="00FF24C2" w:rsidRDefault="00C33C99" w:rsidP="00E369B5">
      <w:pPr>
        <w:jc w:val="both"/>
      </w:pPr>
      <w:bookmarkStart w:id="0" w:name="_Hlk485314994"/>
      <w:bookmarkEnd w:id="0"/>
      <w:r w:rsidRPr="00FF24C2">
        <w:rPr>
          <w:noProof/>
        </w:rPr>
        <w:drawing>
          <wp:inline distT="0" distB="0" distL="0" distR="0" wp14:anchorId="5243DDEC" wp14:editId="10A58AB1">
            <wp:extent cx="1800225" cy="560627"/>
            <wp:effectExtent l="0" t="0" r="0" b="0"/>
            <wp:docPr id="4" name="Image 4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48" cy="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4C2">
        <w:tab/>
      </w:r>
      <w:r w:rsidRPr="00FF24C2">
        <w:tab/>
      </w:r>
      <w:r w:rsidRPr="00FF24C2">
        <w:tab/>
      </w:r>
      <w:r w:rsidRPr="00FF24C2">
        <w:tab/>
      </w:r>
      <w:r w:rsidRPr="00FF24C2">
        <w:tab/>
      </w:r>
      <w:r w:rsidR="00D66248">
        <w:rPr>
          <w:color w:val="A81815"/>
        </w:rPr>
        <w:t xml:space="preserve">Février </w:t>
      </w:r>
      <w:r>
        <w:rPr>
          <w:color w:val="A81815"/>
        </w:rPr>
        <w:t>201</w:t>
      </w:r>
      <w:r w:rsidR="00A958CE">
        <w:rPr>
          <w:color w:val="A81815"/>
        </w:rPr>
        <w:t>9</w:t>
      </w:r>
    </w:p>
    <w:p w14:paraId="5D3C2560" w14:textId="77777777" w:rsidR="00C33C99" w:rsidRPr="00FF24C2" w:rsidRDefault="00C33C99" w:rsidP="00E369B5">
      <w:pPr>
        <w:jc w:val="both"/>
      </w:pPr>
      <w:r w:rsidRPr="00FF24C2">
        <w:br/>
      </w:r>
    </w:p>
    <w:p w14:paraId="39EBA433" w14:textId="75B9F855" w:rsidR="006B5678" w:rsidRDefault="00C33C99" w:rsidP="00B653F8">
      <w:pPr>
        <w:spacing w:after="0" w:line="240" w:lineRule="auto"/>
        <w:jc w:val="both"/>
      </w:pPr>
      <w:r w:rsidRPr="00665140">
        <w:rPr>
          <w:rFonts w:eastAsia="Calibri" w:cs="Calibri"/>
          <w:b/>
          <w:noProof/>
          <w:color w:val="A8181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FEE0" wp14:editId="6DBD9749">
                <wp:simplePos x="0" y="0"/>
                <wp:positionH relativeFrom="column">
                  <wp:posOffset>-575945</wp:posOffset>
                </wp:positionH>
                <wp:positionV relativeFrom="paragraph">
                  <wp:posOffset>346075</wp:posOffset>
                </wp:positionV>
                <wp:extent cx="4267200" cy="45719"/>
                <wp:effectExtent l="0" t="0" r="0" b="12065"/>
                <wp:wrapNone/>
                <wp:docPr id="3" name="Signe Moin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5719"/>
                        </a:xfrm>
                        <a:prstGeom prst="mathMinus">
                          <a:avLst/>
                        </a:prstGeom>
                        <a:solidFill>
                          <a:srgbClr val="A81815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50D2" id="Signe Moins 3" o:spid="_x0000_s1026" style="position:absolute;margin-left:-45.35pt;margin-top:27.25pt;width:33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" path="m565617,17483r3135966,l3701583,28236r-3135966,l565617,17483xe" fillcolor="#a81815" strokecolor="#c00000" strokeweight="1pt">
                <v:stroke joinstyle="miter"/>
                <v:path arrowok="t" o:connecttype="custom" o:connectlocs="565617,17483;3701583,17483;3701583,28236;565617,28236;565617,17483" o:connectangles="0,0,0,0,0"/>
              </v:shape>
            </w:pict>
          </mc:Fallback>
        </mc:AlternateContent>
      </w:r>
      <w:r w:rsidR="00932147">
        <w:rPr>
          <w:rFonts w:eastAsia="Calibri" w:cs="Calibri"/>
          <w:b/>
          <w:noProof/>
          <w:color w:val="A81815"/>
          <w:sz w:val="44"/>
          <w:szCs w:val="44"/>
        </w:rPr>
        <w:t xml:space="preserve"> </w:t>
      </w:r>
      <w:r w:rsidR="00D66248">
        <w:rPr>
          <w:rFonts w:ascii="Avenir LT Std 65 Medium" w:hAnsi="Avenir LT Std 65 Medium"/>
          <w:color w:val="A81815"/>
          <w:sz w:val="28"/>
          <w:szCs w:val="28"/>
        </w:rPr>
        <w:t>COMITÉ DIRECTEUR SECTION INDUSTRIE</w:t>
      </w:r>
    </w:p>
    <w:p w14:paraId="411362FF" w14:textId="77437128" w:rsidR="00B653F8" w:rsidRDefault="00B653F8" w:rsidP="00B653F8">
      <w:pPr>
        <w:spacing w:after="0" w:line="240" w:lineRule="auto"/>
        <w:rPr>
          <w:rFonts w:asciiTheme="minorHAnsi" w:hAnsiTheme="minorHAnsi" w:cstheme="minorBidi"/>
          <w:b/>
        </w:rPr>
      </w:pPr>
    </w:p>
    <w:p w14:paraId="6C049C48" w14:textId="47E38FA1" w:rsidR="008A5964" w:rsidRDefault="008A5964" w:rsidP="005657CD">
      <w:pPr>
        <w:jc w:val="both"/>
        <w:rPr>
          <w:rStyle w:val="qw-refdoc"/>
          <w:rFonts w:cs="Helvetica"/>
          <w:color w:val="333333"/>
        </w:rPr>
      </w:pPr>
    </w:p>
    <w:p w14:paraId="00DFB90B" w14:textId="77777777" w:rsidR="008A5964" w:rsidRDefault="005657CD" w:rsidP="005657CD">
      <w:pPr>
        <w:jc w:val="both"/>
        <w:rPr>
          <w:rStyle w:val="txt"/>
          <w:rFonts w:cs="Helvetica"/>
          <w:color w:val="333333"/>
        </w:rPr>
      </w:pPr>
      <w:r w:rsidRPr="008A5964">
        <w:rPr>
          <w:rStyle w:val="txt"/>
          <w:rFonts w:cs="Helvetica"/>
          <w:color w:val="333333"/>
        </w:rPr>
        <w:t xml:space="preserve">L'article 55 </w:t>
      </w:r>
      <w:r w:rsidR="008A5964">
        <w:rPr>
          <w:rStyle w:val="txt"/>
          <w:rFonts w:cs="Helvetica"/>
          <w:color w:val="333333"/>
        </w:rPr>
        <w:t xml:space="preserve">de la loi de finances pour 2019 </w:t>
      </w:r>
      <w:r w:rsidRPr="008A5964">
        <w:rPr>
          <w:rStyle w:val="txt"/>
          <w:rFonts w:cs="Helvetica"/>
          <w:color w:val="333333"/>
        </w:rPr>
        <w:t xml:space="preserve">institue un nouveau dispositif de suramortissement en faveur des PME qui investissent dans la robotique et la digitalisation industrielle. </w:t>
      </w:r>
    </w:p>
    <w:p w14:paraId="307DAF5F" w14:textId="1AC53FF4" w:rsidR="008A5964" w:rsidRDefault="005657CD" w:rsidP="005657CD">
      <w:pPr>
        <w:jc w:val="both"/>
        <w:rPr>
          <w:rStyle w:val="txt"/>
          <w:rFonts w:cs="Helvetica"/>
          <w:b/>
          <w:bCs/>
          <w:color w:val="333333"/>
        </w:rPr>
      </w:pPr>
      <w:r w:rsidRPr="008A5964">
        <w:rPr>
          <w:rStyle w:val="txt"/>
          <w:rFonts w:cs="Helvetica"/>
          <w:color w:val="333333"/>
        </w:rPr>
        <w:t xml:space="preserve">Ce nouveau dispositif, codifié dans un nouvel article </w:t>
      </w:r>
      <w:hyperlink r:id="rId9" w:history="1">
        <w:r w:rsidRPr="008A5964">
          <w:rPr>
            <w:rStyle w:val="Lienhypertexte"/>
            <w:rFonts w:cs="Helvetica"/>
          </w:rPr>
          <w:t>39 decies B</w:t>
        </w:r>
      </w:hyperlink>
      <w:r w:rsidRPr="008A5964">
        <w:rPr>
          <w:rStyle w:val="txt"/>
          <w:rFonts w:cs="Helvetica"/>
          <w:color w:val="333333"/>
        </w:rPr>
        <w:t xml:space="preserve"> du CGI, s'applique aux exercices clos à compter du </w:t>
      </w:r>
      <w:r w:rsidRPr="008A5964">
        <w:rPr>
          <w:rStyle w:val="txt"/>
          <w:rFonts w:cs="Helvetica"/>
          <w:b/>
          <w:bCs/>
          <w:color w:val="333333"/>
        </w:rPr>
        <w:t>1</w:t>
      </w:r>
      <w:r w:rsidRPr="008A5964">
        <w:rPr>
          <w:rStyle w:val="qw-sup"/>
          <w:rFonts w:cs="Helvetica"/>
          <w:b/>
          <w:bCs/>
          <w:color w:val="333333"/>
        </w:rPr>
        <w:t>er</w:t>
      </w:r>
      <w:r w:rsidRPr="008A5964">
        <w:rPr>
          <w:rStyle w:val="txt"/>
          <w:rFonts w:cs="Helvetica"/>
          <w:b/>
          <w:bCs/>
          <w:color w:val="333333"/>
        </w:rPr>
        <w:t xml:space="preserve"> janvier 2019.</w:t>
      </w:r>
    </w:p>
    <w:p w14:paraId="597F7E13" w14:textId="76A01B78" w:rsidR="004172BA" w:rsidRPr="004172BA" w:rsidRDefault="005657CD" w:rsidP="005657CD">
      <w:pPr>
        <w:pStyle w:val="Paragraphedeliste"/>
        <w:numPr>
          <w:ilvl w:val="0"/>
          <w:numId w:val="17"/>
        </w:numPr>
        <w:jc w:val="both"/>
        <w:rPr>
          <w:rStyle w:val="modif"/>
          <w:rFonts w:cs="Helvetica"/>
          <w:b/>
          <w:color w:val="333333"/>
        </w:rPr>
      </w:pPr>
      <w:r w:rsidRPr="004172BA">
        <w:rPr>
          <w:rStyle w:val="txt"/>
          <w:rFonts w:cs="Helvetica"/>
          <w:b/>
          <w:color w:val="333333"/>
        </w:rPr>
        <w:t>Ce dispositif est proche, dans son fonctionnement, de la déduction exceptionnelle en faveur de l'investissement prévue à l'article 39 decies du CGI qui s'est appliquée jusqu'au 14 avril 2017.</w:t>
      </w:r>
    </w:p>
    <w:p w14:paraId="0F312CA3" w14:textId="2E389B51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Style w:val="modif"/>
          <w:rFonts w:cs="Helvetica"/>
          <w:color w:val="333333"/>
        </w:rPr>
        <w:t>Destinée à inciter les PME à acquérir des investissements issus des nouvelles technologies qu'elles utilisent dans le cadre d'une activité industrielle, la déduction concerne les PME soumises à l'impôt sur les sociétés ou à l'impôt sur le revenu selon un régime réel d'imposition (normal ou simplifié).</w:t>
      </w:r>
    </w:p>
    <w:p w14:paraId="6573AD3A" w14:textId="77777777" w:rsidR="004172BA" w:rsidRDefault="005657CD" w:rsidP="005657CD">
      <w:pPr>
        <w:jc w:val="both"/>
        <w:rPr>
          <w:rStyle w:val="txt"/>
          <w:rFonts w:cs="Helvetica"/>
          <w:color w:val="333333"/>
        </w:rPr>
      </w:pPr>
      <w:r w:rsidRPr="008A5964">
        <w:rPr>
          <w:rStyle w:val="txt"/>
          <w:rFonts w:cs="Helvetica"/>
          <w:color w:val="333333"/>
        </w:rPr>
        <w:t xml:space="preserve">Les </w:t>
      </w:r>
      <w:r w:rsidRPr="008A5964">
        <w:rPr>
          <w:rStyle w:val="txt"/>
          <w:rFonts w:cs="Helvetica"/>
          <w:b/>
          <w:bCs/>
          <w:color w:val="333333"/>
        </w:rPr>
        <w:t>PME</w:t>
      </w:r>
      <w:r w:rsidRPr="008A5964">
        <w:rPr>
          <w:rStyle w:val="txt"/>
          <w:rFonts w:cs="Helvetica"/>
          <w:color w:val="333333"/>
        </w:rPr>
        <w:t xml:space="preserve"> concernées sont celles qui respectent les critères de PME au sens de la réglementation européenne</w:t>
      </w:r>
      <w:r w:rsidR="004172BA">
        <w:rPr>
          <w:rStyle w:val="txt"/>
          <w:rFonts w:cs="Helvetica"/>
          <w:color w:val="333333"/>
        </w:rPr>
        <w:t>.</w:t>
      </w:r>
    </w:p>
    <w:p w14:paraId="09F9FE49" w14:textId="10DF66B3" w:rsidR="005657CD" w:rsidRPr="004172BA" w:rsidRDefault="005657CD" w:rsidP="004172BA">
      <w:pPr>
        <w:pStyle w:val="Paragraphedeliste"/>
        <w:numPr>
          <w:ilvl w:val="0"/>
          <w:numId w:val="17"/>
        </w:numPr>
        <w:jc w:val="both"/>
        <w:rPr>
          <w:rFonts w:cs="Helvetica"/>
          <w:color w:val="333333"/>
        </w:rPr>
      </w:pPr>
      <w:r w:rsidRPr="004172BA">
        <w:rPr>
          <w:rStyle w:val="txt"/>
          <w:rFonts w:cs="Helvetica"/>
          <w:color w:val="333333"/>
        </w:rPr>
        <w:t>Il s'agit des entreprises qui emploient moins de 250 personnes et qui, soit réalisent un chiffre d'affaires annuel n'excédant pas 50 M €, soit ont un total de bilan annuel n'excédant pas 43 M €.</w:t>
      </w:r>
    </w:p>
    <w:p w14:paraId="569CF42F" w14:textId="77777777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Style w:val="txt"/>
          <w:rFonts w:cs="Helvetica"/>
          <w:color w:val="333333"/>
        </w:rPr>
        <w:t>L'</w:t>
      </w:r>
      <w:r w:rsidRPr="008A5964">
        <w:rPr>
          <w:rStyle w:val="txt"/>
          <w:rFonts w:cs="Helvetica"/>
          <w:b/>
          <w:bCs/>
          <w:color w:val="333333"/>
        </w:rPr>
        <w:t>activité</w:t>
      </w:r>
      <w:r w:rsidRPr="008A5964">
        <w:rPr>
          <w:rStyle w:val="txt"/>
          <w:rFonts w:cs="Helvetica"/>
          <w:color w:val="333333"/>
        </w:rPr>
        <w:t xml:space="preserve"> de la PME doit être </w:t>
      </w:r>
      <w:r w:rsidRPr="008A5964">
        <w:rPr>
          <w:rStyle w:val="txt"/>
          <w:rFonts w:cs="Helvetica"/>
          <w:b/>
          <w:bCs/>
          <w:color w:val="333333"/>
        </w:rPr>
        <w:t>industrielle,</w:t>
      </w:r>
      <w:r w:rsidRPr="008A5964">
        <w:rPr>
          <w:rStyle w:val="txt"/>
          <w:rFonts w:cs="Helvetica"/>
          <w:color w:val="333333"/>
        </w:rPr>
        <w:t xml:space="preserve"> définie comme celle qui concourt directement à la fabrication ou à la transformation de biens corporels mobiliers pour laquelle le rôle du matériel et de l'outillage est prépondérant.</w:t>
      </w:r>
    </w:p>
    <w:p w14:paraId="25675B11" w14:textId="27A15361" w:rsidR="005657CD" w:rsidRPr="008A5964" w:rsidRDefault="004172BA" w:rsidP="005657CD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Les b</w:t>
      </w:r>
      <w:r w:rsidR="005657CD" w:rsidRPr="008A5964">
        <w:rPr>
          <w:rFonts w:cs="Helvetica"/>
          <w:color w:val="333333"/>
        </w:rPr>
        <w:t>iens concernés</w:t>
      </w:r>
      <w:r>
        <w:rPr>
          <w:rFonts w:cs="Helvetica"/>
          <w:color w:val="333333"/>
        </w:rPr>
        <w:t xml:space="preserve"> sont :</w:t>
      </w:r>
    </w:p>
    <w:p w14:paraId="46C04440" w14:textId="77777777" w:rsidR="004172BA" w:rsidRDefault="004172BA" w:rsidP="004172BA">
      <w:pPr>
        <w:pStyle w:val="Paragraphedeliste"/>
        <w:numPr>
          <w:ilvl w:val="0"/>
          <w:numId w:val="18"/>
        </w:numPr>
        <w:jc w:val="both"/>
        <w:rPr>
          <w:rStyle w:val="txt"/>
          <w:rFonts w:cs="Helvetica"/>
          <w:color w:val="333333"/>
        </w:rPr>
      </w:pPr>
      <w:proofErr w:type="gramStart"/>
      <w:r w:rsidRPr="004172BA">
        <w:rPr>
          <w:rStyle w:val="txt"/>
          <w:rFonts w:cs="Helvetica"/>
          <w:color w:val="333333"/>
        </w:rPr>
        <w:t>les</w:t>
      </w:r>
      <w:proofErr w:type="gramEnd"/>
      <w:r w:rsidRPr="004172BA">
        <w:rPr>
          <w:rStyle w:val="txt"/>
          <w:rFonts w:cs="Helvetica"/>
          <w:color w:val="333333"/>
        </w:rPr>
        <w:t xml:space="preserve"> </w:t>
      </w:r>
      <w:r w:rsidR="005657CD" w:rsidRPr="004172BA">
        <w:rPr>
          <w:rStyle w:val="txt"/>
          <w:rFonts w:cs="Helvetica"/>
          <w:b/>
          <w:bCs/>
          <w:color w:val="333333"/>
        </w:rPr>
        <w:t xml:space="preserve">équipements robotiques et </w:t>
      </w:r>
      <w:proofErr w:type="spellStart"/>
      <w:r w:rsidR="005657CD" w:rsidRPr="004172BA">
        <w:rPr>
          <w:rStyle w:val="txt"/>
          <w:rFonts w:cs="Helvetica"/>
          <w:b/>
          <w:bCs/>
          <w:color w:val="333333"/>
        </w:rPr>
        <w:t>cobotiques</w:t>
      </w:r>
      <w:proofErr w:type="spellEnd"/>
      <w:r w:rsidR="005657CD" w:rsidRPr="004172BA">
        <w:rPr>
          <w:rStyle w:val="txt"/>
          <w:rFonts w:cs="Helvetica"/>
          <w:color w:val="333333"/>
        </w:rPr>
        <w:t xml:space="preserve"> (ou robotique collaborative)</w:t>
      </w:r>
    </w:p>
    <w:p w14:paraId="18A2411C" w14:textId="77777777" w:rsidR="004172BA" w:rsidRPr="004172BA" w:rsidRDefault="004172BA" w:rsidP="004172BA">
      <w:pPr>
        <w:pStyle w:val="Paragraphedeliste"/>
        <w:numPr>
          <w:ilvl w:val="0"/>
          <w:numId w:val="18"/>
        </w:numPr>
        <w:jc w:val="both"/>
        <w:rPr>
          <w:rStyle w:val="txt"/>
          <w:rFonts w:cs="Helvetica"/>
          <w:color w:val="333333"/>
        </w:rPr>
      </w:pPr>
      <w:proofErr w:type="gramStart"/>
      <w:r>
        <w:rPr>
          <w:rStyle w:val="txt"/>
          <w:rFonts w:cs="Helvetica"/>
          <w:color w:val="333333"/>
        </w:rPr>
        <w:t>les</w:t>
      </w:r>
      <w:proofErr w:type="gramEnd"/>
      <w:r>
        <w:rPr>
          <w:rStyle w:val="txt"/>
          <w:rFonts w:cs="Helvetica"/>
          <w:color w:val="333333"/>
        </w:rPr>
        <w:t xml:space="preserve"> </w:t>
      </w:r>
      <w:r w:rsidR="005657CD" w:rsidRPr="004172BA">
        <w:rPr>
          <w:rStyle w:val="txt"/>
          <w:rFonts w:cs="Helvetica"/>
          <w:b/>
          <w:bCs/>
          <w:color w:val="333333"/>
        </w:rPr>
        <w:t>équipements de fabrication additive (impression 3D)</w:t>
      </w:r>
    </w:p>
    <w:p w14:paraId="17982B79" w14:textId="77777777" w:rsidR="004172BA" w:rsidRDefault="004172BA" w:rsidP="004172BA">
      <w:pPr>
        <w:pStyle w:val="Paragraphedeliste"/>
        <w:numPr>
          <w:ilvl w:val="0"/>
          <w:numId w:val="18"/>
        </w:numPr>
        <w:jc w:val="both"/>
        <w:rPr>
          <w:rStyle w:val="txt"/>
          <w:rFonts w:cs="Helvetica"/>
          <w:color w:val="333333"/>
        </w:rPr>
      </w:pPr>
      <w:proofErr w:type="gramStart"/>
      <w:r>
        <w:rPr>
          <w:rStyle w:val="txt"/>
          <w:rFonts w:cs="Helvetica"/>
          <w:b/>
          <w:bCs/>
          <w:color w:val="333333"/>
        </w:rPr>
        <w:t>les</w:t>
      </w:r>
      <w:proofErr w:type="gramEnd"/>
      <w:r>
        <w:rPr>
          <w:rStyle w:val="txt"/>
          <w:rFonts w:cs="Helvetica"/>
          <w:b/>
          <w:bCs/>
          <w:color w:val="333333"/>
        </w:rPr>
        <w:t xml:space="preserve"> </w:t>
      </w:r>
      <w:r w:rsidR="005657CD" w:rsidRPr="004172BA">
        <w:rPr>
          <w:rStyle w:val="txt"/>
          <w:rFonts w:cs="Helvetica"/>
          <w:b/>
          <w:bCs/>
          <w:color w:val="333333"/>
        </w:rPr>
        <w:t>logiciels utilisés pour des opérations de conception, de fabrication ou de transformation.</w:t>
      </w:r>
    </w:p>
    <w:p w14:paraId="66643A8F" w14:textId="77777777" w:rsidR="004172BA" w:rsidRDefault="004172BA" w:rsidP="005657CD">
      <w:pPr>
        <w:pStyle w:val="Paragraphedeliste"/>
        <w:numPr>
          <w:ilvl w:val="0"/>
          <w:numId w:val="18"/>
        </w:numPr>
        <w:jc w:val="both"/>
        <w:rPr>
          <w:rStyle w:val="txt"/>
          <w:rFonts w:cs="Helvetica"/>
          <w:color w:val="333333"/>
        </w:rPr>
      </w:pPr>
      <w:r>
        <w:rPr>
          <w:rStyle w:val="txt"/>
          <w:rFonts w:cs="Helvetica"/>
          <w:color w:val="333333"/>
        </w:rPr>
        <w:t xml:space="preserve">Les </w:t>
      </w:r>
      <w:r w:rsidR="005657CD" w:rsidRPr="004172BA">
        <w:rPr>
          <w:rStyle w:val="txt"/>
          <w:rFonts w:cs="Helvetica"/>
          <w:b/>
          <w:bCs/>
          <w:color w:val="333333"/>
        </w:rPr>
        <w:t>machines intégrées destinées au calcul intensif (supercalculateurs).</w:t>
      </w:r>
      <w:r w:rsidR="005657CD" w:rsidRPr="004172BA">
        <w:rPr>
          <w:rStyle w:val="txt"/>
          <w:rFonts w:cs="Helvetica"/>
          <w:color w:val="333333"/>
        </w:rPr>
        <w:t xml:space="preserve"> </w:t>
      </w:r>
    </w:p>
    <w:p w14:paraId="4B4259FF" w14:textId="77777777" w:rsidR="00810166" w:rsidRDefault="004172BA" w:rsidP="005657CD">
      <w:pPr>
        <w:pStyle w:val="Paragraphedeliste"/>
        <w:numPr>
          <w:ilvl w:val="0"/>
          <w:numId w:val="18"/>
        </w:numPr>
        <w:jc w:val="both"/>
        <w:rPr>
          <w:rStyle w:val="txt"/>
          <w:rFonts w:cs="Helvetica"/>
          <w:color w:val="333333"/>
        </w:rPr>
      </w:pPr>
      <w:r>
        <w:rPr>
          <w:rStyle w:val="txt"/>
          <w:rFonts w:cs="Helvetica"/>
          <w:color w:val="333333"/>
        </w:rPr>
        <w:t xml:space="preserve">Les </w:t>
      </w:r>
      <w:r w:rsidR="005657CD" w:rsidRPr="004172BA">
        <w:rPr>
          <w:rStyle w:val="txt"/>
          <w:rFonts w:cs="Helvetica"/>
          <w:b/>
          <w:bCs/>
          <w:color w:val="333333"/>
        </w:rPr>
        <w:t>capteurs physiques collectant des données</w:t>
      </w:r>
      <w:r w:rsidR="005657CD" w:rsidRPr="004172BA">
        <w:rPr>
          <w:rStyle w:val="txt"/>
          <w:rFonts w:cs="Helvetica"/>
          <w:color w:val="333333"/>
        </w:rPr>
        <w:t xml:space="preserve"> sur le site de production de </w:t>
      </w:r>
      <w:proofErr w:type="gramStart"/>
      <w:r w:rsidR="005657CD" w:rsidRPr="004172BA">
        <w:rPr>
          <w:rStyle w:val="txt"/>
          <w:rFonts w:cs="Helvetica"/>
          <w:color w:val="333333"/>
        </w:rPr>
        <w:t>l'entreprise;</w:t>
      </w:r>
      <w:proofErr w:type="gramEnd"/>
    </w:p>
    <w:p w14:paraId="27F0EB56" w14:textId="60811663" w:rsidR="00810166" w:rsidRDefault="004172BA" w:rsidP="005657CD">
      <w:pPr>
        <w:pStyle w:val="Paragraphedeliste"/>
        <w:numPr>
          <w:ilvl w:val="0"/>
          <w:numId w:val="18"/>
        </w:numPr>
        <w:jc w:val="both"/>
        <w:rPr>
          <w:rStyle w:val="txt"/>
          <w:rFonts w:cs="Helvetica"/>
          <w:color w:val="333333"/>
        </w:rPr>
      </w:pPr>
      <w:proofErr w:type="gramStart"/>
      <w:r w:rsidRPr="00810166">
        <w:rPr>
          <w:rFonts w:cs="Helvetica"/>
          <w:color w:val="333333"/>
        </w:rPr>
        <w:t>les</w:t>
      </w:r>
      <w:proofErr w:type="gramEnd"/>
      <w:r w:rsidRPr="00810166">
        <w:rPr>
          <w:rFonts w:cs="Helvetica"/>
          <w:color w:val="333333"/>
        </w:rPr>
        <w:t xml:space="preserve"> </w:t>
      </w:r>
      <w:r w:rsidR="005657CD" w:rsidRPr="00810166">
        <w:rPr>
          <w:rStyle w:val="txt"/>
          <w:rFonts w:cs="Helvetica"/>
          <w:b/>
          <w:bCs/>
          <w:color w:val="333333"/>
        </w:rPr>
        <w:t>machines de production</w:t>
      </w:r>
      <w:r w:rsidR="005657CD" w:rsidRPr="00810166">
        <w:rPr>
          <w:rStyle w:val="txt"/>
          <w:rFonts w:cs="Helvetica"/>
          <w:color w:val="333333"/>
        </w:rPr>
        <w:t xml:space="preserve"> à commande programmable ou numérique. Il s'agit de l'ensemble des machines de production dont le contrôle est assuré par commande numérique ou par un ordinateur. </w:t>
      </w:r>
    </w:p>
    <w:p w14:paraId="782A2A4C" w14:textId="4F667059" w:rsidR="005657CD" w:rsidRPr="00810166" w:rsidRDefault="004172BA" w:rsidP="005657CD">
      <w:pPr>
        <w:pStyle w:val="Paragraphedeliste"/>
        <w:numPr>
          <w:ilvl w:val="0"/>
          <w:numId w:val="18"/>
        </w:numPr>
        <w:jc w:val="both"/>
        <w:rPr>
          <w:rFonts w:cs="Helvetica"/>
          <w:color w:val="333333"/>
        </w:rPr>
      </w:pPr>
      <w:bookmarkStart w:id="1" w:name="_GoBack"/>
      <w:bookmarkEnd w:id="1"/>
      <w:proofErr w:type="gramStart"/>
      <w:r w:rsidRPr="00810166">
        <w:rPr>
          <w:rFonts w:cs="Helvetica"/>
          <w:color w:val="333333"/>
        </w:rPr>
        <w:t>les</w:t>
      </w:r>
      <w:proofErr w:type="gramEnd"/>
      <w:r w:rsidRPr="00810166">
        <w:rPr>
          <w:rFonts w:cs="Helvetica"/>
          <w:color w:val="333333"/>
        </w:rPr>
        <w:t xml:space="preserve"> équipements</w:t>
      </w:r>
      <w:r w:rsidR="005657CD" w:rsidRPr="00810166">
        <w:rPr>
          <w:rStyle w:val="txt"/>
          <w:rFonts w:cs="Helvetica"/>
          <w:b/>
          <w:bCs/>
          <w:color w:val="333333"/>
        </w:rPr>
        <w:t xml:space="preserve"> de réalité augmentée et de réalité virtuelle</w:t>
      </w:r>
      <w:r w:rsidR="005657CD" w:rsidRPr="00810166">
        <w:rPr>
          <w:rStyle w:val="txt"/>
          <w:rFonts w:cs="Helvetica"/>
          <w:color w:val="333333"/>
        </w:rPr>
        <w:t xml:space="preserve"> utilisés pour des opérations de conception, de fabrication ou de transformation. Les équipements de </w:t>
      </w:r>
      <w:r w:rsidR="005657CD" w:rsidRPr="00810166">
        <w:rPr>
          <w:rStyle w:val="txt"/>
          <w:rFonts w:cs="Helvetica"/>
          <w:b/>
          <w:bCs/>
          <w:color w:val="333333"/>
        </w:rPr>
        <w:t>réalité augmentée</w:t>
      </w:r>
      <w:r w:rsidR="005657CD" w:rsidRPr="00810166">
        <w:rPr>
          <w:rStyle w:val="txt"/>
          <w:rFonts w:cs="Helvetica"/>
          <w:color w:val="333333"/>
        </w:rPr>
        <w:t xml:space="preserve"> sont ceux qui utilisent une technologie qui permet d'intégrer des éléments virtuels tridimensionnels au sein d'un environnement réel, venant enrichir la </w:t>
      </w:r>
      <w:r w:rsidR="005657CD" w:rsidRPr="00810166">
        <w:rPr>
          <w:rStyle w:val="txt"/>
          <w:rFonts w:cs="Helvetica"/>
          <w:color w:val="333333"/>
        </w:rPr>
        <w:lastRenderedPageBreak/>
        <w:t xml:space="preserve">réalité afin de réaliser des opérations de conception, de fabrication ou de transformation. </w:t>
      </w:r>
    </w:p>
    <w:p w14:paraId="7DEF9518" w14:textId="000A0097" w:rsidR="005657CD" w:rsidRPr="008A5964" w:rsidRDefault="004172BA" w:rsidP="005657CD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La m</w:t>
      </w:r>
      <w:r w:rsidR="005657CD" w:rsidRPr="008A5964">
        <w:rPr>
          <w:rFonts w:cs="Helvetica"/>
          <w:color w:val="333333"/>
        </w:rPr>
        <w:t>odalité d'application</w:t>
      </w:r>
      <w:r>
        <w:rPr>
          <w:rFonts w:cs="Helvetica"/>
          <w:color w:val="333333"/>
        </w:rPr>
        <w:t> :</w:t>
      </w:r>
    </w:p>
    <w:p w14:paraId="13F976F4" w14:textId="1A5E48A6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Style w:val="modif"/>
          <w:rFonts w:cs="Helvetica"/>
          <w:color w:val="333333"/>
        </w:rPr>
        <w:t xml:space="preserve">La déduction, égale à </w:t>
      </w:r>
      <w:r w:rsidRPr="008A5964">
        <w:rPr>
          <w:rStyle w:val="modif"/>
          <w:rFonts w:cs="Helvetica"/>
          <w:b/>
          <w:bCs/>
          <w:color w:val="333333"/>
        </w:rPr>
        <w:t>40 % de la valeur d'origine</w:t>
      </w:r>
      <w:r w:rsidRPr="008A5964">
        <w:rPr>
          <w:rStyle w:val="modif"/>
          <w:rFonts w:cs="Helvetica"/>
          <w:color w:val="333333"/>
        </w:rPr>
        <w:t xml:space="preserve"> du bien inscrit à l'actif immobilisé est pratiquée au cours des </w:t>
      </w:r>
      <w:r w:rsidRPr="008A5964">
        <w:rPr>
          <w:rStyle w:val="modif"/>
          <w:rFonts w:cs="Helvetica"/>
          <w:b/>
          <w:bCs/>
          <w:color w:val="333333"/>
        </w:rPr>
        <w:t>exercices clos à compter du 1</w:t>
      </w:r>
      <w:r w:rsidRPr="008A5964">
        <w:rPr>
          <w:rStyle w:val="qw-sup"/>
          <w:rFonts w:cs="Helvetica"/>
          <w:b/>
          <w:bCs/>
          <w:color w:val="333333"/>
        </w:rPr>
        <w:t>er</w:t>
      </w:r>
      <w:r w:rsidRPr="008A5964">
        <w:rPr>
          <w:rStyle w:val="modif"/>
          <w:rFonts w:cs="Helvetica"/>
          <w:b/>
          <w:bCs/>
          <w:color w:val="333333"/>
        </w:rPr>
        <w:t xml:space="preserve"> janvier 2019</w:t>
      </w:r>
      <w:r w:rsidRPr="008A5964">
        <w:rPr>
          <w:rStyle w:val="modif"/>
          <w:rFonts w:cs="Helvetica"/>
          <w:color w:val="333333"/>
        </w:rPr>
        <w:t xml:space="preserve"> et s'applique aux </w:t>
      </w:r>
      <w:proofErr w:type="gramStart"/>
      <w:r w:rsidRPr="008A5964">
        <w:rPr>
          <w:rStyle w:val="modif"/>
          <w:rFonts w:cs="Helvetica"/>
          <w:color w:val="333333"/>
        </w:rPr>
        <w:t>biens:</w:t>
      </w:r>
      <w:proofErr w:type="gramEnd"/>
      <w:r w:rsidRPr="008A5964">
        <w:rPr>
          <w:rStyle w:val="modif"/>
          <w:rFonts w:cs="Helvetica"/>
          <w:color w:val="333333"/>
        </w:rPr>
        <w:t xml:space="preserve"> </w:t>
      </w:r>
    </w:p>
    <w:p w14:paraId="64553AC4" w14:textId="77777777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Fonts w:cs="Helvetica"/>
          <w:color w:val="333333"/>
        </w:rPr>
        <w:t>-  </w:t>
      </w:r>
      <w:r w:rsidRPr="008A5964">
        <w:rPr>
          <w:rStyle w:val="modif"/>
          <w:rFonts w:cs="Helvetica"/>
          <w:color w:val="333333"/>
        </w:rPr>
        <w:t xml:space="preserve">acquis à l'état neuf à compter du </w:t>
      </w:r>
      <w:r w:rsidRPr="008A5964">
        <w:rPr>
          <w:rStyle w:val="modif"/>
          <w:rFonts w:cs="Helvetica"/>
          <w:b/>
          <w:bCs/>
          <w:color w:val="333333"/>
        </w:rPr>
        <w:t>1</w:t>
      </w:r>
      <w:r w:rsidRPr="008A5964">
        <w:rPr>
          <w:rStyle w:val="qw-sup"/>
          <w:rFonts w:cs="Helvetica"/>
          <w:b/>
          <w:bCs/>
          <w:color w:val="333333"/>
        </w:rPr>
        <w:t>er</w:t>
      </w:r>
      <w:r w:rsidRPr="008A5964">
        <w:rPr>
          <w:rStyle w:val="modif"/>
          <w:rFonts w:cs="Helvetica"/>
          <w:b/>
          <w:bCs/>
          <w:color w:val="333333"/>
        </w:rPr>
        <w:t xml:space="preserve"> janvier 2019 et jusqu'au 31 décembre 2020</w:t>
      </w:r>
      <w:r w:rsidRPr="008A5964">
        <w:rPr>
          <w:rStyle w:val="modif"/>
          <w:rFonts w:cs="Helvetica"/>
          <w:color w:val="333333"/>
        </w:rPr>
        <w:t xml:space="preserve"> s'ils ont fait l'objet d'une </w:t>
      </w:r>
      <w:r w:rsidRPr="008A5964">
        <w:rPr>
          <w:rStyle w:val="modif"/>
          <w:rFonts w:cs="Helvetica"/>
          <w:b/>
          <w:bCs/>
          <w:color w:val="333333"/>
        </w:rPr>
        <w:t>commande</w:t>
      </w:r>
      <w:r w:rsidRPr="008A5964">
        <w:rPr>
          <w:rStyle w:val="modif"/>
          <w:rFonts w:cs="Helvetica"/>
          <w:color w:val="333333"/>
        </w:rPr>
        <w:t xml:space="preserve"> ferme à compter du 20 septembre 2018 ; </w:t>
      </w:r>
    </w:p>
    <w:p w14:paraId="34BC6006" w14:textId="77777777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Fonts w:cs="Helvetica"/>
          <w:color w:val="333333"/>
        </w:rPr>
        <w:t>-  </w:t>
      </w:r>
      <w:r w:rsidRPr="008A5964">
        <w:rPr>
          <w:rStyle w:val="modif"/>
          <w:rFonts w:cs="Helvetica"/>
          <w:color w:val="333333"/>
        </w:rPr>
        <w:t>fabriqués à compter du 1</w:t>
      </w:r>
      <w:r w:rsidRPr="008A5964">
        <w:rPr>
          <w:rStyle w:val="qw-sup"/>
          <w:rFonts w:cs="Helvetica"/>
          <w:color w:val="333333"/>
        </w:rPr>
        <w:t>er</w:t>
      </w:r>
      <w:r w:rsidRPr="008A5964">
        <w:rPr>
          <w:rStyle w:val="modif"/>
          <w:rFonts w:cs="Helvetica"/>
          <w:color w:val="333333"/>
        </w:rPr>
        <w:t xml:space="preserve"> janvier 2019 et jusqu'au 31 décembre 2020 pour lesquels la direction de l'entreprise a pris la décision définitive de les fabriquer à compter du 20 septembre 2018 ; </w:t>
      </w:r>
    </w:p>
    <w:p w14:paraId="39BC9275" w14:textId="77777777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Fonts w:cs="Helvetica"/>
          <w:color w:val="333333"/>
        </w:rPr>
        <w:t>-  </w:t>
      </w:r>
      <w:r w:rsidRPr="008A5964">
        <w:rPr>
          <w:rStyle w:val="modif"/>
          <w:rFonts w:cs="Helvetica"/>
          <w:color w:val="333333"/>
        </w:rPr>
        <w:t xml:space="preserve">acquis à l'état neuf </w:t>
      </w:r>
      <w:r w:rsidRPr="008A5964">
        <w:rPr>
          <w:rStyle w:val="modif"/>
          <w:rFonts w:cs="Helvetica"/>
          <w:b/>
          <w:bCs/>
          <w:color w:val="333333"/>
        </w:rPr>
        <w:t>à compter du 1</w:t>
      </w:r>
      <w:r w:rsidRPr="008A5964">
        <w:rPr>
          <w:rStyle w:val="qw-sup"/>
          <w:rFonts w:cs="Helvetica"/>
          <w:b/>
          <w:bCs/>
          <w:color w:val="333333"/>
        </w:rPr>
        <w:t>er</w:t>
      </w:r>
      <w:r w:rsidRPr="008A5964">
        <w:rPr>
          <w:rStyle w:val="modif"/>
          <w:rFonts w:cs="Helvetica"/>
          <w:b/>
          <w:bCs/>
          <w:color w:val="333333"/>
        </w:rPr>
        <w:t xml:space="preserve"> janvier 2021,</w:t>
      </w:r>
      <w:r w:rsidRPr="008A5964">
        <w:rPr>
          <w:rStyle w:val="modif"/>
          <w:rFonts w:cs="Helvetica"/>
          <w:color w:val="333333"/>
        </w:rPr>
        <w:t xml:space="preserve"> s'ils ont été </w:t>
      </w:r>
      <w:r w:rsidRPr="008A5964">
        <w:rPr>
          <w:rStyle w:val="modif"/>
          <w:rFonts w:cs="Helvetica"/>
          <w:b/>
          <w:bCs/>
          <w:color w:val="333333"/>
        </w:rPr>
        <w:t>commandés</w:t>
      </w:r>
      <w:r w:rsidRPr="008A5964">
        <w:rPr>
          <w:rStyle w:val="modif"/>
          <w:rFonts w:cs="Helvetica"/>
          <w:color w:val="333333"/>
        </w:rPr>
        <w:t xml:space="preserve"> en 2019 ou 2020 avec versement d'un acompte d'au moins 10 % et que l'acquisition intervient dans un délai de 24 mois à compter de la date de la commande.</w:t>
      </w:r>
    </w:p>
    <w:p w14:paraId="05CF2019" w14:textId="77777777" w:rsidR="004172BA" w:rsidRDefault="005657CD" w:rsidP="005657CD">
      <w:pPr>
        <w:jc w:val="both"/>
        <w:rPr>
          <w:rStyle w:val="txt"/>
          <w:rFonts w:cs="Helvetica"/>
          <w:color w:val="333333"/>
        </w:rPr>
      </w:pPr>
      <w:r w:rsidRPr="008A5964">
        <w:rPr>
          <w:rStyle w:val="txt"/>
          <w:rFonts w:cs="Helvetica"/>
          <w:color w:val="333333"/>
        </w:rPr>
        <w:t xml:space="preserve">La déduction est </w:t>
      </w:r>
      <w:r w:rsidRPr="008A5964">
        <w:rPr>
          <w:rStyle w:val="txt"/>
          <w:rFonts w:cs="Helvetica"/>
          <w:b/>
          <w:bCs/>
          <w:color w:val="333333"/>
        </w:rPr>
        <w:t>répartie linéairement</w:t>
      </w:r>
      <w:r w:rsidRPr="008A5964">
        <w:rPr>
          <w:rStyle w:val="txt"/>
          <w:rFonts w:cs="Helvetica"/>
          <w:color w:val="333333"/>
        </w:rPr>
        <w:t xml:space="preserve"> sur la durée normale d'utilisation de l'équipement. </w:t>
      </w:r>
    </w:p>
    <w:p w14:paraId="38C3E697" w14:textId="77777777" w:rsidR="004172BA" w:rsidRDefault="005657CD" w:rsidP="005657CD">
      <w:pPr>
        <w:jc w:val="both"/>
        <w:rPr>
          <w:rStyle w:val="txt"/>
          <w:rFonts w:cs="Helvetica"/>
          <w:color w:val="333333"/>
        </w:rPr>
      </w:pPr>
      <w:r w:rsidRPr="008A5964">
        <w:rPr>
          <w:rStyle w:val="txt"/>
          <w:rFonts w:cs="Helvetica"/>
          <w:color w:val="333333"/>
        </w:rPr>
        <w:t xml:space="preserve">En cas de cession du bien avant le terme de cette période, elle n'est acquise à l'entreprise qu'à hauteur des montants déjà déduits du résultat à la date de la cession, qui sont calculés prorata </w:t>
      </w:r>
      <w:proofErr w:type="spellStart"/>
      <w:r w:rsidRPr="008A5964">
        <w:rPr>
          <w:rStyle w:val="txt"/>
          <w:rFonts w:cs="Helvetica"/>
          <w:color w:val="333333"/>
        </w:rPr>
        <w:t>temporis</w:t>
      </w:r>
      <w:proofErr w:type="spellEnd"/>
      <w:r w:rsidRPr="008A5964">
        <w:rPr>
          <w:rStyle w:val="txt"/>
          <w:rFonts w:cs="Helvetica"/>
          <w:color w:val="333333"/>
        </w:rPr>
        <w:t>.</w:t>
      </w:r>
    </w:p>
    <w:p w14:paraId="4AEBD150" w14:textId="760F01C5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Fonts w:cs="Helvetica"/>
          <w:color w:val="333333"/>
        </w:rPr>
        <w:br/>
      </w:r>
      <w:r w:rsidRPr="008A5964">
        <w:rPr>
          <w:rStyle w:val="txt"/>
          <w:rFonts w:cs="Helvetica"/>
          <w:color w:val="333333"/>
        </w:rPr>
        <w:t>Si l'</w:t>
      </w:r>
      <w:r w:rsidRPr="008A5964">
        <w:rPr>
          <w:rStyle w:val="txt"/>
          <w:rFonts w:cs="Helvetica"/>
          <w:b/>
          <w:bCs/>
          <w:color w:val="333333"/>
        </w:rPr>
        <w:t>entreprise crédit-preneuse ou locataire</w:t>
      </w:r>
      <w:r w:rsidRPr="008A5964">
        <w:rPr>
          <w:rStyle w:val="txt"/>
          <w:rFonts w:cs="Helvetica"/>
          <w:color w:val="333333"/>
        </w:rPr>
        <w:t xml:space="preserve"> acquiert le bien, elle peut continuer à appliquer la déduction. La déduction cesse à compter de la cession ou de la cessation par celle-ci du contrat de crédit-bail ou de location avec option d'achat ou du bien et ne peut pas s'appliquer au nouvel exploitant.</w:t>
      </w:r>
    </w:p>
    <w:p w14:paraId="53C9C061" w14:textId="77777777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Style w:val="qw-frame-header-text"/>
          <w:rFonts w:cs="Helvetica"/>
          <w:color w:val="333333"/>
        </w:rPr>
        <w:t>Exemple</w:t>
      </w:r>
    </w:p>
    <w:p w14:paraId="7DE62CAA" w14:textId="65C49459" w:rsidR="005657CD" w:rsidRPr="008A5964" w:rsidRDefault="005657CD" w:rsidP="005657CD">
      <w:pPr>
        <w:spacing w:after="240"/>
        <w:jc w:val="both"/>
        <w:rPr>
          <w:rStyle w:val="txt"/>
        </w:rPr>
      </w:pPr>
      <w:r w:rsidRPr="008A5964">
        <w:rPr>
          <w:rStyle w:val="txt"/>
          <w:rFonts w:cs="Helvetica"/>
          <w:color w:val="333333"/>
        </w:rPr>
        <w:t>Une PME</w:t>
      </w:r>
      <w:r w:rsidR="004172BA">
        <w:rPr>
          <w:rStyle w:val="txt"/>
          <w:rFonts w:cs="Helvetica"/>
          <w:color w:val="333333"/>
        </w:rPr>
        <w:t xml:space="preserve"> </w:t>
      </w:r>
      <w:r w:rsidRPr="008A5964">
        <w:rPr>
          <w:rStyle w:val="txt"/>
          <w:rFonts w:cs="Helvetica"/>
          <w:color w:val="333333"/>
        </w:rPr>
        <w:t>acquiert le 1</w:t>
      </w:r>
      <w:r w:rsidRPr="008A5964">
        <w:rPr>
          <w:rStyle w:val="qw-sup"/>
          <w:rFonts w:cs="Helvetica"/>
          <w:color w:val="333333"/>
        </w:rPr>
        <w:t>er</w:t>
      </w:r>
      <w:r w:rsidRPr="008A5964">
        <w:rPr>
          <w:rStyle w:val="txt"/>
          <w:rFonts w:cs="Helvetica"/>
          <w:color w:val="333333"/>
        </w:rPr>
        <w:t xml:space="preserve"> juillet 2019 une machine de production à commande programmable, dont le prix hors taxe est de 600 000 € et dont la durée d'utilisation est de cinq ans.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4338"/>
        <w:gridCol w:w="3068"/>
      </w:tblGrid>
      <w:tr w:rsidR="005657CD" w:rsidRPr="008A5964" w14:paraId="7ACC980A" w14:textId="77777777" w:rsidTr="005657CD">
        <w:trPr>
          <w:tblHeader/>
          <w:tblCellSpacing w:w="15" w:type="dxa"/>
        </w:trPr>
        <w:tc>
          <w:tcPr>
            <w:tcW w:w="43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C7763" w14:textId="77777777" w:rsidR="005657CD" w:rsidRPr="008A5964" w:rsidRDefault="005657CD" w:rsidP="005657CD">
            <w:pPr>
              <w:spacing w:after="0"/>
              <w:jc w:val="both"/>
              <w:rPr>
                <w:b/>
                <w:bCs/>
              </w:rPr>
            </w:pPr>
            <w:r w:rsidRPr="008A5964">
              <w:rPr>
                <w:rStyle w:val="txtbold"/>
                <w:rFonts w:cs="Helvetica"/>
                <w:b/>
                <w:bCs/>
                <w:color w:val="333333"/>
              </w:rPr>
              <w:t>Année</w:t>
            </w:r>
          </w:p>
        </w:tc>
        <w:tc>
          <w:tcPr>
            <w:tcW w:w="1629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CCDBB" w14:textId="77777777" w:rsidR="005657CD" w:rsidRPr="008A5964" w:rsidRDefault="005657CD" w:rsidP="005657CD">
            <w:pPr>
              <w:jc w:val="both"/>
              <w:rPr>
                <w:rFonts w:cs="Helvetica"/>
                <w:b/>
                <w:bCs/>
                <w:color w:val="333333"/>
              </w:rPr>
            </w:pPr>
            <w:r w:rsidRPr="008A5964">
              <w:rPr>
                <w:rStyle w:val="txtbold"/>
                <w:rFonts w:cs="Helvetica"/>
                <w:b/>
                <w:bCs/>
                <w:color w:val="333333"/>
              </w:rPr>
              <w:t>Détail du calcul</w:t>
            </w:r>
          </w:p>
        </w:tc>
        <w:tc>
          <w:tcPr>
            <w:tcW w:w="921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D64B1" w14:textId="77777777" w:rsidR="005657CD" w:rsidRPr="008A5964" w:rsidRDefault="005657CD" w:rsidP="005657CD">
            <w:pPr>
              <w:jc w:val="both"/>
              <w:rPr>
                <w:rFonts w:cs="Helvetica"/>
                <w:b/>
                <w:bCs/>
                <w:color w:val="333333"/>
              </w:rPr>
            </w:pPr>
            <w:r w:rsidRPr="008A5964">
              <w:rPr>
                <w:rStyle w:val="txtbold"/>
                <w:rFonts w:cs="Helvetica"/>
                <w:b/>
                <w:bCs/>
                <w:color w:val="333333"/>
              </w:rPr>
              <w:t>Montant de la déduction</w:t>
            </w:r>
          </w:p>
        </w:tc>
      </w:tr>
      <w:tr w:rsidR="005657CD" w:rsidRPr="008A5964" w14:paraId="6D18CAC1" w14:textId="77777777" w:rsidTr="005657CD">
        <w:trPr>
          <w:tblCellSpacing w:w="15" w:type="dxa"/>
        </w:trPr>
        <w:tc>
          <w:tcPr>
            <w:tcW w:w="4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1AB40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b/>
                <w:bCs/>
                <w:color w:val="333333"/>
              </w:rPr>
              <w:t>2019</w:t>
            </w:r>
          </w:p>
        </w:tc>
        <w:tc>
          <w:tcPr>
            <w:tcW w:w="162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37437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(600 000 × 40 %) × 20 % × 6/12</w:t>
            </w:r>
          </w:p>
        </w:tc>
        <w:tc>
          <w:tcPr>
            <w:tcW w:w="9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E4422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24 000</w:t>
            </w:r>
          </w:p>
        </w:tc>
      </w:tr>
      <w:tr w:rsidR="005657CD" w:rsidRPr="008A5964" w14:paraId="2721D9BD" w14:textId="77777777" w:rsidTr="005657CD">
        <w:trPr>
          <w:tblCellSpacing w:w="15" w:type="dxa"/>
        </w:trPr>
        <w:tc>
          <w:tcPr>
            <w:tcW w:w="4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7386F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b/>
                <w:bCs/>
                <w:color w:val="333333"/>
              </w:rPr>
              <w:t>2020</w:t>
            </w:r>
          </w:p>
        </w:tc>
        <w:tc>
          <w:tcPr>
            <w:tcW w:w="162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CF0EF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(600 000 × 40 %) × 20 %</w:t>
            </w:r>
          </w:p>
        </w:tc>
        <w:tc>
          <w:tcPr>
            <w:tcW w:w="9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3EF58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48 000</w:t>
            </w:r>
          </w:p>
        </w:tc>
      </w:tr>
      <w:tr w:rsidR="005657CD" w:rsidRPr="008A5964" w14:paraId="0C6E5E92" w14:textId="77777777" w:rsidTr="005657CD">
        <w:trPr>
          <w:tblCellSpacing w:w="15" w:type="dxa"/>
        </w:trPr>
        <w:tc>
          <w:tcPr>
            <w:tcW w:w="4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AE82C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b/>
                <w:bCs/>
                <w:color w:val="333333"/>
              </w:rPr>
              <w:t>2021</w:t>
            </w:r>
          </w:p>
        </w:tc>
        <w:tc>
          <w:tcPr>
            <w:tcW w:w="162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9C8E3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(600 000 × 40 %) × 20 %</w:t>
            </w:r>
          </w:p>
        </w:tc>
        <w:tc>
          <w:tcPr>
            <w:tcW w:w="9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C6B55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48 000</w:t>
            </w:r>
          </w:p>
        </w:tc>
      </w:tr>
      <w:tr w:rsidR="005657CD" w:rsidRPr="008A5964" w14:paraId="0ABB8884" w14:textId="77777777" w:rsidTr="005657CD">
        <w:trPr>
          <w:tblCellSpacing w:w="15" w:type="dxa"/>
        </w:trPr>
        <w:tc>
          <w:tcPr>
            <w:tcW w:w="4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EAD7B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b/>
                <w:bCs/>
                <w:color w:val="333333"/>
              </w:rPr>
              <w:t>2022</w:t>
            </w:r>
          </w:p>
        </w:tc>
        <w:tc>
          <w:tcPr>
            <w:tcW w:w="162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20220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(600 000 × 40 %) × 20 %</w:t>
            </w:r>
          </w:p>
        </w:tc>
        <w:tc>
          <w:tcPr>
            <w:tcW w:w="9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8798B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48 000</w:t>
            </w:r>
          </w:p>
        </w:tc>
      </w:tr>
      <w:tr w:rsidR="005657CD" w:rsidRPr="008A5964" w14:paraId="430F13CF" w14:textId="77777777" w:rsidTr="005657CD">
        <w:trPr>
          <w:tblCellSpacing w:w="15" w:type="dxa"/>
        </w:trPr>
        <w:tc>
          <w:tcPr>
            <w:tcW w:w="4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0DA36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b/>
                <w:bCs/>
                <w:color w:val="333333"/>
              </w:rPr>
              <w:t>2023</w:t>
            </w:r>
          </w:p>
        </w:tc>
        <w:tc>
          <w:tcPr>
            <w:tcW w:w="162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0348B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(600 000 × 40 %) × 20 %</w:t>
            </w:r>
          </w:p>
        </w:tc>
        <w:tc>
          <w:tcPr>
            <w:tcW w:w="9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C73B1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48 000</w:t>
            </w:r>
          </w:p>
        </w:tc>
      </w:tr>
      <w:tr w:rsidR="005657CD" w:rsidRPr="008A5964" w14:paraId="20D9B20A" w14:textId="77777777" w:rsidTr="005657CD">
        <w:trPr>
          <w:tblCellSpacing w:w="15" w:type="dxa"/>
        </w:trPr>
        <w:tc>
          <w:tcPr>
            <w:tcW w:w="4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7C31E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b/>
                <w:bCs/>
                <w:color w:val="333333"/>
              </w:rPr>
              <w:t>2024</w:t>
            </w:r>
          </w:p>
        </w:tc>
        <w:tc>
          <w:tcPr>
            <w:tcW w:w="162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52458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(600 000 × 40 %) × 20 % × 6/12</w:t>
            </w:r>
          </w:p>
        </w:tc>
        <w:tc>
          <w:tcPr>
            <w:tcW w:w="9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04AFE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24 000</w:t>
            </w:r>
          </w:p>
        </w:tc>
      </w:tr>
      <w:tr w:rsidR="005657CD" w:rsidRPr="008A5964" w14:paraId="3E0ED99B" w14:textId="77777777" w:rsidTr="005657CD">
        <w:trPr>
          <w:tblCellSpacing w:w="15" w:type="dxa"/>
        </w:trPr>
        <w:tc>
          <w:tcPr>
            <w:tcW w:w="2065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FF336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lastRenderedPageBreak/>
              <w:t>Total</w:t>
            </w:r>
          </w:p>
        </w:tc>
        <w:tc>
          <w:tcPr>
            <w:tcW w:w="9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46B1" w14:textId="77777777" w:rsidR="005657CD" w:rsidRPr="008A5964" w:rsidRDefault="005657CD" w:rsidP="005657CD">
            <w:pPr>
              <w:jc w:val="both"/>
              <w:rPr>
                <w:rFonts w:cs="Helvetica"/>
                <w:color w:val="333333"/>
              </w:rPr>
            </w:pPr>
            <w:r w:rsidRPr="008A5964">
              <w:rPr>
                <w:rStyle w:val="txt"/>
                <w:rFonts w:cs="Helvetica"/>
                <w:color w:val="333333"/>
              </w:rPr>
              <w:t>240 000</w:t>
            </w:r>
          </w:p>
        </w:tc>
      </w:tr>
    </w:tbl>
    <w:p w14:paraId="6BFBCD8B" w14:textId="417C0B2D" w:rsidR="005657CD" w:rsidRPr="008A5964" w:rsidRDefault="005657CD" w:rsidP="004172BA">
      <w:pPr>
        <w:jc w:val="both"/>
        <w:rPr>
          <w:rFonts w:cs="Helvetica"/>
          <w:color w:val="333333"/>
        </w:rPr>
      </w:pPr>
      <w:r w:rsidRPr="008A5964">
        <w:rPr>
          <w:rFonts w:cs="Helvetica"/>
          <w:color w:val="333333"/>
        </w:rPr>
        <w:br/>
      </w:r>
    </w:p>
    <w:p w14:paraId="35256B77" w14:textId="6968BECC" w:rsidR="005657CD" w:rsidRPr="008A5964" w:rsidRDefault="004172BA" w:rsidP="005657CD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Attention : </w:t>
      </w:r>
      <w:r w:rsidR="005657CD" w:rsidRPr="008A5964">
        <w:rPr>
          <w:rStyle w:val="modif"/>
          <w:rFonts w:cs="Helvetica"/>
          <w:color w:val="333333"/>
        </w:rPr>
        <w:t>L'avantage fiscal accordé aux PME est assimilé à une aide d'État</w:t>
      </w:r>
      <w:r w:rsidR="00810166">
        <w:rPr>
          <w:rStyle w:val="modif"/>
          <w:rFonts w:cs="Helvetica"/>
          <w:color w:val="333333"/>
        </w:rPr>
        <w:t xml:space="preserve">. </w:t>
      </w:r>
      <w:r>
        <w:rPr>
          <w:rStyle w:val="modif"/>
          <w:rFonts w:cs="Helvetica"/>
          <w:color w:val="333333"/>
        </w:rPr>
        <w:t>L’</w:t>
      </w:r>
      <w:r w:rsidR="005657CD" w:rsidRPr="008A5964">
        <w:rPr>
          <w:rStyle w:val="modif"/>
          <w:rFonts w:cs="Helvetica"/>
          <w:color w:val="333333"/>
        </w:rPr>
        <w:t xml:space="preserve">aide ne doit pas dépasser les plafonds suivants : </w:t>
      </w:r>
    </w:p>
    <w:p w14:paraId="77988A05" w14:textId="77777777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Style w:val="modif"/>
          <w:rFonts w:cs="Helvetica"/>
          <w:color w:val="333333"/>
        </w:rPr>
        <w:t xml:space="preserve">- 20 % des coûts admissibles pour les petites entreprises (moins de 50 salariés et chiffre d'affaires ou total de bilan n'excédant pas 10 M €) ; </w:t>
      </w:r>
    </w:p>
    <w:p w14:paraId="31F3E132" w14:textId="77777777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Style w:val="modif"/>
          <w:rFonts w:cs="Helvetica"/>
          <w:color w:val="333333"/>
        </w:rPr>
        <w:t>- 10 % des coûts admissibles pour les entreprises de taille moyenne (entre 50 et 250 salariés et chiffre d'affaires ou total de bilan annuel compris entre 10 M € et respectivement 50 M € ou 43 M €).</w:t>
      </w:r>
    </w:p>
    <w:p w14:paraId="59958984" w14:textId="726C838E" w:rsidR="005657CD" w:rsidRPr="008A5964" w:rsidRDefault="005657CD" w:rsidP="005657CD">
      <w:pPr>
        <w:jc w:val="both"/>
        <w:rPr>
          <w:rFonts w:cs="Helvetica"/>
          <w:color w:val="333333"/>
        </w:rPr>
      </w:pPr>
      <w:r w:rsidRPr="008A5964">
        <w:rPr>
          <w:rStyle w:val="txt"/>
          <w:rFonts w:cs="Helvetica"/>
          <w:color w:val="333333"/>
        </w:rPr>
        <w:t xml:space="preserve">Le bénéfice de la déduction exceptionnelle peut être cumulé </w:t>
      </w:r>
      <w:r w:rsidR="004172BA">
        <w:rPr>
          <w:rStyle w:val="txt"/>
          <w:rFonts w:cs="Helvetica"/>
          <w:color w:val="333333"/>
        </w:rPr>
        <w:t xml:space="preserve">néanmoins </w:t>
      </w:r>
      <w:r w:rsidRPr="008A5964">
        <w:rPr>
          <w:rStyle w:val="txt"/>
          <w:rFonts w:cs="Helvetica"/>
          <w:color w:val="333333"/>
        </w:rPr>
        <w:t>avec d'autres avantages dans les mêmes conditions que l'ancien dispositif de suramortissement</w:t>
      </w:r>
      <w:r w:rsidR="004172BA">
        <w:rPr>
          <w:rStyle w:val="txt"/>
          <w:rFonts w:cs="Helvetica"/>
          <w:color w:val="333333"/>
        </w:rPr>
        <w:t>.</w:t>
      </w:r>
    </w:p>
    <w:p w14:paraId="0DBC5403" w14:textId="77777777" w:rsidR="007651C0" w:rsidRPr="008A5964" w:rsidRDefault="007651C0" w:rsidP="007651C0">
      <w:pPr>
        <w:spacing w:after="0" w:line="240" w:lineRule="auto"/>
        <w:jc w:val="both"/>
        <w:rPr>
          <w:rFonts w:cstheme="minorBidi"/>
        </w:rPr>
      </w:pPr>
    </w:p>
    <w:sectPr w:rsidR="007651C0" w:rsidRPr="008A5964" w:rsidSect="0000264E">
      <w:footerReference w:type="default" r:id="rId10"/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2D15" w14:textId="77777777" w:rsidR="00B06F83" w:rsidRDefault="00B06F83" w:rsidP="00F077E0">
      <w:pPr>
        <w:spacing w:after="0" w:line="240" w:lineRule="auto"/>
      </w:pPr>
      <w:r>
        <w:separator/>
      </w:r>
    </w:p>
  </w:endnote>
  <w:endnote w:type="continuationSeparator" w:id="0">
    <w:p w14:paraId="04BDE9A6" w14:textId="77777777" w:rsidR="00B06F83" w:rsidRDefault="00B06F83" w:rsidP="00F0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465003"/>
      <w:docPartObj>
        <w:docPartGallery w:val="Page Numbers (Bottom of Page)"/>
        <w:docPartUnique/>
      </w:docPartObj>
    </w:sdtPr>
    <w:sdtEndPr/>
    <w:sdtContent>
      <w:p w14:paraId="689ACABC" w14:textId="77777777" w:rsidR="009C20D2" w:rsidRDefault="009C20D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1B36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156073E7" w14:textId="77777777" w:rsidR="009C20D2" w:rsidRDefault="009C20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A150" w14:textId="77777777" w:rsidR="00B06F83" w:rsidRDefault="00B06F83" w:rsidP="00F077E0">
      <w:pPr>
        <w:spacing w:after="0" w:line="240" w:lineRule="auto"/>
      </w:pPr>
      <w:r>
        <w:separator/>
      </w:r>
    </w:p>
  </w:footnote>
  <w:footnote w:type="continuationSeparator" w:id="0">
    <w:p w14:paraId="76C0089F" w14:textId="77777777" w:rsidR="00B06F83" w:rsidRDefault="00B06F83" w:rsidP="00F0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8EB"/>
    <w:multiLevelType w:val="hybridMultilevel"/>
    <w:tmpl w:val="86C84154"/>
    <w:lvl w:ilvl="0" w:tplc="CF04682A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48A"/>
    <w:multiLevelType w:val="hybridMultilevel"/>
    <w:tmpl w:val="0EE4BA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7C9"/>
    <w:multiLevelType w:val="hybridMultilevel"/>
    <w:tmpl w:val="1B4A4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0AD7"/>
    <w:multiLevelType w:val="hybridMultilevel"/>
    <w:tmpl w:val="DF4C1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A83"/>
    <w:multiLevelType w:val="hybridMultilevel"/>
    <w:tmpl w:val="8D7C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2222"/>
    <w:multiLevelType w:val="hybridMultilevel"/>
    <w:tmpl w:val="32C2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2249"/>
    <w:multiLevelType w:val="hybridMultilevel"/>
    <w:tmpl w:val="4D7C176E"/>
    <w:lvl w:ilvl="0" w:tplc="9CD4F3BE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2AE0"/>
    <w:multiLevelType w:val="hybridMultilevel"/>
    <w:tmpl w:val="DF9A9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2C45"/>
    <w:multiLevelType w:val="hybridMultilevel"/>
    <w:tmpl w:val="07B646D2"/>
    <w:lvl w:ilvl="0" w:tplc="E422997E">
      <w:start w:val="9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B2818"/>
    <w:multiLevelType w:val="hybridMultilevel"/>
    <w:tmpl w:val="E5C09ECE"/>
    <w:lvl w:ilvl="0" w:tplc="1EE48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6C67"/>
    <w:multiLevelType w:val="hybridMultilevel"/>
    <w:tmpl w:val="E72E53AA"/>
    <w:lvl w:ilvl="0" w:tplc="E422997E">
      <w:start w:val="9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25A5"/>
    <w:multiLevelType w:val="hybridMultilevel"/>
    <w:tmpl w:val="B7C48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D3950"/>
    <w:multiLevelType w:val="hybridMultilevel"/>
    <w:tmpl w:val="06FC3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2ACC"/>
    <w:multiLevelType w:val="hybridMultilevel"/>
    <w:tmpl w:val="244AA74E"/>
    <w:lvl w:ilvl="0" w:tplc="0B703888">
      <w:numFmt w:val="bullet"/>
      <w:lvlText w:val="-"/>
      <w:lvlJc w:val="left"/>
      <w:pPr>
        <w:ind w:left="720" w:hanging="360"/>
      </w:pPr>
      <w:rPr>
        <w:rFonts w:ascii="Avenir LT Std 35 Light" w:eastAsia="Calibri" w:hAnsi="Avenir LT Std 35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46A7"/>
    <w:multiLevelType w:val="hybridMultilevel"/>
    <w:tmpl w:val="7B142D86"/>
    <w:lvl w:ilvl="0" w:tplc="210AE630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1C8A"/>
    <w:multiLevelType w:val="hybridMultilevel"/>
    <w:tmpl w:val="E24C3F62"/>
    <w:lvl w:ilvl="0" w:tplc="4FE0DB40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517E7"/>
    <w:multiLevelType w:val="hybridMultilevel"/>
    <w:tmpl w:val="67A6DAD6"/>
    <w:lvl w:ilvl="0" w:tplc="E422997E">
      <w:start w:val="9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99"/>
    <w:rsid w:val="00000A6E"/>
    <w:rsid w:val="0000264E"/>
    <w:rsid w:val="00013874"/>
    <w:rsid w:val="000154B1"/>
    <w:rsid w:val="00015829"/>
    <w:rsid w:val="0002790B"/>
    <w:rsid w:val="00032054"/>
    <w:rsid w:val="00036CB1"/>
    <w:rsid w:val="00036CBF"/>
    <w:rsid w:val="00042AAA"/>
    <w:rsid w:val="00047154"/>
    <w:rsid w:val="00052D2A"/>
    <w:rsid w:val="00062B28"/>
    <w:rsid w:val="000673BE"/>
    <w:rsid w:val="0007535D"/>
    <w:rsid w:val="000800C9"/>
    <w:rsid w:val="000857F0"/>
    <w:rsid w:val="00092899"/>
    <w:rsid w:val="00096862"/>
    <w:rsid w:val="000A7403"/>
    <w:rsid w:val="000B48B8"/>
    <w:rsid w:val="000C7C00"/>
    <w:rsid w:val="000D02CB"/>
    <w:rsid w:val="000D2E5E"/>
    <w:rsid w:val="00100B44"/>
    <w:rsid w:val="001030B7"/>
    <w:rsid w:val="00115983"/>
    <w:rsid w:val="001245C2"/>
    <w:rsid w:val="00131C46"/>
    <w:rsid w:val="00142109"/>
    <w:rsid w:val="00145B9D"/>
    <w:rsid w:val="001510B6"/>
    <w:rsid w:val="00155598"/>
    <w:rsid w:val="00156530"/>
    <w:rsid w:val="00163911"/>
    <w:rsid w:val="00172A1B"/>
    <w:rsid w:val="00173D9D"/>
    <w:rsid w:val="00182C6B"/>
    <w:rsid w:val="00185573"/>
    <w:rsid w:val="001863E0"/>
    <w:rsid w:val="00195AC0"/>
    <w:rsid w:val="001B1D04"/>
    <w:rsid w:val="001C136D"/>
    <w:rsid w:val="00207B67"/>
    <w:rsid w:val="00210072"/>
    <w:rsid w:val="00212938"/>
    <w:rsid w:val="00226BD6"/>
    <w:rsid w:val="00237D73"/>
    <w:rsid w:val="00246881"/>
    <w:rsid w:val="002561B1"/>
    <w:rsid w:val="00256CBE"/>
    <w:rsid w:val="00257B8B"/>
    <w:rsid w:val="002606DD"/>
    <w:rsid w:val="00274F73"/>
    <w:rsid w:val="00280218"/>
    <w:rsid w:val="0028295A"/>
    <w:rsid w:val="00284CD3"/>
    <w:rsid w:val="00296EBB"/>
    <w:rsid w:val="002B4DCC"/>
    <w:rsid w:val="002C1D6D"/>
    <w:rsid w:val="002C2F4E"/>
    <w:rsid w:val="002C330A"/>
    <w:rsid w:val="002C402C"/>
    <w:rsid w:val="002C7CEB"/>
    <w:rsid w:val="002D4CD4"/>
    <w:rsid w:val="002E5D76"/>
    <w:rsid w:val="002E797B"/>
    <w:rsid w:val="002F000B"/>
    <w:rsid w:val="002F52A8"/>
    <w:rsid w:val="0031274F"/>
    <w:rsid w:val="003252C2"/>
    <w:rsid w:val="00325AC4"/>
    <w:rsid w:val="00326DC8"/>
    <w:rsid w:val="00327AC9"/>
    <w:rsid w:val="0033547C"/>
    <w:rsid w:val="00345086"/>
    <w:rsid w:val="0035540E"/>
    <w:rsid w:val="003612D8"/>
    <w:rsid w:val="00362D59"/>
    <w:rsid w:val="00364366"/>
    <w:rsid w:val="003750BB"/>
    <w:rsid w:val="00375CB0"/>
    <w:rsid w:val="003832CB"/>
    <w:rsid w:val="00386453"/>
    <w:rsid w:val="003A0698"/>
    <w:rsid w:val="003A236D"/>
    <w:rsid w:val="003A4916"/>
    <w:rsid w:val="003A5B3C"/>
    <w:rsid w:val="003B1D60"/>
    <w:rsid w:val="003B394A"/>
    <w:rsid w:val="003B4008"/>
    <w:rsid w:val="003C1EF0"/>
    <w:rsid w:val="003C42A7"/>
    <w:rsid w:val="003D3AB0"/>
    <w:rsid w:val="003E74F3"/>
    <w:rsid w:val="003E7EA8"/>
    <w:rsid w:val="00407951"/>
    <w:rsid w:val="004172BA"/>
    <w:rsid w:val="00427177"/>
    <w:rsid w:val="0043050E"/>
    <w:rsid w:val="0045624B"/>
    <w:rsid w:val="004740DB"/>
    <w:rsid w:val="004767DC"/>
    <w:rsid w:val="00491784"/>
    <w:rsid w:val="004A4AF7"/>
    <w:rsid w:val="004B2727"/>
    <w:rsid w:val="004C39EF"/>
    <w:rsid w:val="004D5AC7"/>
    <w:rsid w:val="004E47BC"/>
    <w:rsid w:val="00500236"/>
    <w:rsid w:val="00503BA7"/>
    <w:rsid w:val="00517282"/>
    <w:rsid w:val="00523D95"/>
    <w:rsid w:val="005253C2"/>
    <w:rsid w:val="00527AEA"/>
    <w:rsid w:val="005304E0"/>
    <w:rsid w:val="0054070F"/>
    <w:rsid w:val="00540DC0"/>
    <w:rsid w:val="00543D05"/>
    <w:rsid w:val="005452B8"/>
    <w:rsid w:val="005513EE"/>
    <w:rsid w:val="0055272A"/>
    <w:rsid w:val="00553136"/>
    <w:rsid w:val="005576A3"/>
    <w:rsid w:val="00560FCA"/>
    <w:rsid w:val="005657CD"/>
    <w:rsid w:val="00571E19"/>
    <w:rsid w:val="00573AD8"/>
    <w:rsid w:val="005A3322"/>
    <w:rsid w:val="005A5203"/>
    <w:rsid w:val="005C2B10"/>
    <w:rsid w:val="005D052A"/>
    <w:rsid w:val="005E66C2"/>
    <w:rsid w:val="006020B3"/>
    <w:rsid w:val="00603214"/>
    <w:rsid w:val="00607AD1"/>
    <w:rsid w:val="00612333"/>
    <w:rsid w:val="00613574"/>
    <w:rsid w:val="006140DC"/>
    <w:rsid w:val="00615DC6"/>
    <w:rsid w:val="00635131"/>
    <w:rsid w:val="0063533A"/>
    <w:rsid w:val="00646304"/>
    <w:rsid w:val="00653BF7"/>
    <w:rsid w:val="0066462D"/>
    <w:rsid w:val="00665140"/>
    <w:rsid w:val="006665BD"/>
    <w:rsid w:val="006732EE"/>
    <w:rsid w:val="00696571"/>
    <w:rsid w:val="006A150E"/>
    <w:rsid w:val="006A5C24"/>
    <w:rsid w:val="006B2B45"/>
    <w:rsid w:val="006B5678"/>
    <w:rsid w:val="006C0FC0"/>
    <w:rsid w:val="006C1696"/>
    <w:rsid w:val="006C2034"/>
    <w:rsid w:val="006D6425"/>
    <w:rsid w:val="006D7726"/>
    <w:rsid w:val="006E0112"/>
    <w:rsid w:val="006F295E"/>
    <w:rsid w:val="006F5BA5"/>
    <w:rsid w:val="007018C8"/>
    <w:rsid w:val="007152CE"/>
    <w:rsid w:val="0072689B"/>
    <w:rsid w:val="00727848"/>
    <w:rsid w:val="007307DF"/>
    <w:rsid w:val="00732DEA"/>
    <w:rsid w:val="00747BBC"/>
    <w:rsid w:val="007514B0"/>
    <w:rsid w:val="00762A00"/>
    <w:rsid w:val="007651C0"/>
    <w:rsid w:val="0076678C"/>
    <w:rsid w:val="00777000"/>
    <w:rsid w:val="00783568"/>
    <w:rsid w:val="007955DD"/>
    <w:rsid w:val="00796C3D"/>
    <w:rsid w:val="007A394B"/>
    <w:rsid w:val="007C5990"/>
    <w:rsid w:val="007E5A3A"/>
    <w:rsid w:val="00810166"/>
    <w:rsid w:val="00814314"/>
    <w:rsid w:val="00817401"/>
    <w:rsid w:val="008430E2"/>
    <w:rsid w:val="0085581F"/>
    <w:rsid w:val="00867E19"/>
    <w:rsid w:val="00873576"/>
    <w:rsid w:val="00875A54"/>
    <w:rsid w:val="0087782C"/>
    <w:rsid w:val="00892F57"/>
    <w:rsid w:val="00894208"/>
    <w:rsid w:val="008A1DD5"/>
    <w:rsid w:val="008A1F92"/>
    <w:rsid w:val="008A28E6"/>
    <w:rsid w:val="008A5964"/>
    <w:rsid w:val="008B26B2"/>
    <w:rsid w:val="008B72A6"/>
    <w:rsid w:val="008B7334"/>
    <w:rsid w:val="008C3559"/>
    <w:rsid w:val="008C4F7F"/>
    <w:rsid w:val="008D00EB"/>
    <w:rsid w:val="008D2A5F"/>
    <w:rsid w:val="008D2E2A"/>
    <w:rsid w:val="008D480A"/>
    <w:rsid w:val="009068F8"/>
    <w:rsid w:val="00913E0C"/>
    <w:rsid w:val="0092753B"/>
    <w:rsid w:val="00927837"/>
    <w:rsid w:val="00932147"/>
    <w:rsid w:val="00934C88"/>
    <w:rsid w:val="00940080"/>
    <w:rsid w:val="00943084"/>
    <w:rsid w:val="00951FFD"/>
    <w:rsid w:val="00952B3D"/>
    <w:rsid w:val="00964172"/>
    <w:rsid w:val="009836DE"/>
    <w:rsid w:val="00985BFD"/>
    <w:rsid w:val="00986296"/>
    <w:rsid w:val="00987A54"/>
    <w:rsid w:val="00991ABB"/>
    <w:rsid w:val="0099270E"/>
    <w:rsid w:val="009A1788"/>
    <w:rsid w:val="009A7703"/>
    <w:rsid w:val="009C05AC"/>
    <w:rsid w:val="009C20D2"/>
    <w:rsid w:val="009C3B63"/>
    <w:rsid w:val="009C6D7F"/>
    <w:rsid w:val="009D43E6"/>
    <w:rsid w:val="009E1EDD"/>
    <w:rsid w:val="009F36DE"/>
    <w:rsid w:val="009F5426"/>
    <w:rsid w:val="00A03477"/>
    <w:rsid w:val="00A05BB7"/>
    <w:rsid w:val="00A237A6"/>
    <w:rsid w:val="00A2486B"/>
    <w:rsid w:val="00A323CB"/>
    <w:rsid w:val="00A36C50"/>
    <w:rsid w:val="00A568EF"/>
    <w:rsid w:val="00A56D76"/>
    <w:rsid w:val="00A6184A"/>
    <w:rsid w:val="00A6555C"/>
    <w:rsid w:val="00A67F22"/>
    <w:rsid w:val="00A77EA5"/>
    <w:rsid w:val="00A83EFF"/>
    <w:rsid w:val="00A908ED"/>
    <w:rsid w:val="00A94C46"/>
    <w:rsid w:val="00A958CE"/>
    <w:rsid w:val="00AA2881"/>
    <w:rsid w:val="00AB7916"/>
    <w:rsid w:val="00AC220C"/>
    <w:rsid w:val="00AC43A3"/>
    <w:rsid w:val="00AC51D6"/>
    <w:rsid w:val="00AD78DF"/>
    <w:rsid w:val="00AE1538"/>
    <w:rsid w:val="00AE1B36"/>
    <w:rsid w:val="00AE2DE2"/>
    <w:rsid w:val="00AE6BA1"/>
    <w:rsid w:val="00AF28AD"/>
    <w:rsid w:val="00AF6CEC"/>
    <w:rsid w:val="00B06B55"/>
    <w:rsid w:val="00B06F83"/>
    <w:rsid w:val="00B11E82"/>
    <w:rsid w:val="00B32984"/>
    <w:rsid w:val="00B427B5"/>
    <w:rsid w:val="00B5027A"/>
    <w:rsid w:val="00B56EB7"/>
    <w:rsid w:val="00B5702D"/>
    <w:rsid w:val="00B60165"/>
    <w:rsid w:val="00B63F9A"/>
    <w:rsid w:val="00B653F8"/>
    <w:rsid w:val="00B66BF0"/>
    <w:rsid w:val="00B735A3"/>
    <w:rsid w:val="00B74475"/>
    <w:rsid w:val="00B7531A"/>
    <w:rsid w:val="00B86B78"/>
    <w:rsid w:val="00B9612F"/>
    <w:rsid w:val="00B9673C"/>
    <w:rsid w:val="00BA6D01"/>
    <w:rsid w:val="00BB4CF6"/>
    <w:rsid w:val="00BC0B54"/>
    <w:rsid w:val="00BC2930"/>
    <w:rsid w:val="00BC3A15"/>
    <w:rsid w:val="00BC7E54"/>
    <w:rsid w:val="00BD1E20"/>
    <w:rsid w:val="00BD260B"/>
    <w:rsid w:val="00BE0BBC"/>
    <w:rsid w:val="00BE7EF5"/>
    <w:rsid w:val="00C1044F"/>
    <w:rsid w:val="00C17002"/>
    <w:rsid w:val="00C20ADE"/>
    <w:rsid w:val="00C2105E"/>
    <w:rsid w:val="00C22BD3"/>
    <w:rsid w:val="00C31914"/>
    <w:rsid w:val="00C33C99"/>
    <w:rsid w:val="00C43155"/>
    <w:rsid w:val="00C54D7E"/>
    <w:rsid w:val="00C76A5E"/>
    <w:rsid w:val="00C76B9B"/>
    <w:rsid w:val="00C77720"/>
    <w:rsid w:val="00C818CD"/>
    <w:rsid w:val="00C87C7E"/>
    <w:rsid w:val="00C92898"/>
    <w:rsid w:val="00C92912"/>
    <w:rsid w:val="00C92AEF"/>
    <w:rsid w:val="00CA2B7E"/>
    <w:rsid w:val="00CC5F49"/>
    <w:rsid w:val="00CD677D"/>
    <w:rsid w:val="00CE3E7A"/>
    <w:rsid w:val="00CE5A22"/>
    <w:rsid w:val="00CE69E8"/>
    <w:rsid w:val="00CF7CB2"/>
    <w:rsid w:val="00D02ADB"/>
    <w:rsid w:val="00D16E59"/>
    <w:rsid w:val="00D22EFF"/>
    <w:rsid w:val="00D30A84"/>
    <w:rsid w:val="00D35E18"/>
    <w:rsid w:val="00D41491"/>
    <w:rsid w:val="00D5340B"/>
    <w:rsid w:val="00D553BA"/>
    <w:rsid w:val="00D61A60"/>
    <w:rsid w:val="00D653B5"/>
    <w:rsid w:val="00D66248"/>
    <w:rsid w:val="00D801CC"/>
    <w:rsid w:val="00D91EF6"/>
    <w:rsid w:val="00D94E19"/>
    <w:rsid w:val="00D97123"/>
    <w:rsid w:val="00DA7E32"/>
    <w:rsid w:val="00DC3A91"/>
    <w:rsid w:val="00DC4AE5"/>
    <w:rsid w:val="00DD1556"/>
    <w:rsid w:val="00DD39CA"/>
    <w:rsid w:val="00DD555A"/>
    <w:rsid w:val="00DD6D44"/>
    <w:rsid w:val="00DF0AD1"/>
    <w:rsid w:val="00E04C7A"/>
    <w:rsid w:val="00E05BEC"/>
    <w:rsid w:val="00E05F49"/>
    <w:rsid w:val="00E179C9"/>
    <w:rsid w:val="00E2607B"/>
    <w:rsid w:val="00E3435A"/>
    <w:rsid w:val="00E34669"/>
    <w:rsid w:val="00E369B5"/>
    <w:rsid w:val="00E36E84"/>
    <w:rsid w:val="00E4318E"/>
    <w:rsid w:val="00E543BE"/>
    <w:rsid w:val="00E81B5C"/>
    <w:rsid w:val="00E83A62"/>
    <w:rsid w:val="00E865AA"/>
    <w:rsid w:val="00EA5A58"/>
    <w:rsid w:val="00EB12F7"/>
    <w:rsid w:val="00EB1DC9"/>
    <w:rsid w:val="00EB2444"/>
    <w:rsid w:val="00EB74AC"/>
    <w:rsid w:val="00EC2242"/>
    <w:rsid w:val="00EE1B21"/>
    <w:rsid w:val="00EE66F1"/>
    <w:rsid w:val="00EE7DA0"/>
    <w:rsid w:val="00F0173E"/>
    <w:rsid w:val="00F02519"/>
    <w:rsid w:val="00F03105"/>
    <w:rsid w:val="00F077E0"/>
    <w:rsid w:val="00F10DAE"/>
    <w:rsid w:val="00F139F8"/>
    <w:rsid w:val="00F1738B"/>
    <w:rsid w:val="00F22B65"/>
    <w:rsid w:val="00F327ED"/>
    <w:rsid w:val="00F343B3"/>
    <w:rsid w:val="00F36F55"/>
    <w:rsid w:val="00F42440"/>
    <w:rsid w:val="00F4302A"/>
    <w:rsid w:val="00F4479B"/>
    <w:rsid w:val="00F525AE"/>
    <w:rsid w:val="00FA23A8"/>
    <w:rsid w:val="00FA5FD2"/>
    <w:rsid w:val="00FB54CD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9FBC"/>
  <w15:chartTrackingRefBased/>
  <w15:docId w15:val="{D48F65F4-B1DE-476A-8EE0-AAC8F3D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HAnsi" w:hAnsi="Avenir LT Std 35 Light" w:cstheme="maj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7E0"/>
  </w:style>
  <w:style w:type="paragraph" w:styleId="Pieddepage">
    <w:name w:val="footer"/>
    <w:basedOn w:val="Normal"/>
    <w:link w:val="PieddepageCar"/>
    <w:uiPriority w:val="99"/>
    <w:unhideWhenUsed/>
    <w:rsid w:val="00F0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7E0"/>
  </w:style>
  <w:style w:type="paragraph" w:styleId="Textedebulles">
    <w:name w:val="Balloon Text"/>
    <w:basedOn w:val="Normal"/>
    <w:link w:val="TextedebullesCar"/>
    <w:uiPriority w:val="99"/>
    <w:semiHidden/>
    <w:unhideWhenUsed/>
    <w:rsid w:val="00C2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0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0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002"/>
    <w:rPr>
      <w:color w:val="605E5C"/>
      <w:shd w:val="clear" w:color="auto" w:fill="E1DFDD"/>
    </w:rPr>
  </w:style>
  <w:style w:type="paragraph" w:customStyle="1" w:styleId="m-5254314408556860892msolistparagraph">
    <w:name w:val="m_-5254314408556860892msolistparagraph"/>
    <w:basedOn w:val="Normal"/>
    <w:rsid w:val="00D6624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39"/>
    <w:rsid w:val="00D6624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Policepardfaut"/>
    <w:rsid w:val="006A5C24"/>
  </w:style>
  <w:style w:type="character" w:customStyle="1" w:styleId="modif">
    <w:name w:val="modif"/>
    <w:basedOn w:val="Policepardfaut"/>
    <w:rsid w:val="006A5C24"/>
  </w:style>
  <w:style w:type="character" w:customStyle="1" w:styleId="qw-refdoc">
    <w:name w:val="qw-refdoc"/>
    <w:basedOn w:val="Policepardfaut"/>
    <w:rsid w:val="005657CD"/>
  </w:style>
  <w:style w:type="character" w:customStyle="1" w:styleId="qw-art">
    <w:name w:val="qw-art"/>
    <w:basedOn w:val="Policepardfaut"/>
    <w:rsid w:val="005657CD"/>
  </w:style>
  <w:style w:type="character" w:customStyle="1" w:styleId="qw-sup">
    <w:name w:val="qw-sup"/>
    <w:basedOn w:val="Policepardfaut"/>
    <w:rsid w:val="005657CD"/>
  </w:style>
  <w:style w:type="character" w:customStyle="1" w:styleId="qw-frame-header-text">
    <w:name w:val="qw-frame-header-text"/>
    <w:basedOn w:val="Policepardfaut"/>
    <w:rsid w:val="005657CD"/>
  </w:style>
  <w:style w:type="character" w:customStyle="1" w:styleId="txtbold">
    <w:name w:val="txtbold"/>
    <w:basedOn w:val="Policepardfaut"/>
    <w:rsid w:val="0056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2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21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9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6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3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3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9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4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2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2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8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86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5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53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1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5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1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5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93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2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9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01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5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01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46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2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45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0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0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3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0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14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0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2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2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6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70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6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82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2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3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08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7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54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2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3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2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7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7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75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3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2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6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25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8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5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8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1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9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16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27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7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74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5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0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5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19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4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4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4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4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8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03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9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53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94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2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79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4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3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5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56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6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3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3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5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B497F7-97B6-467D-BF54-554E16532EF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;jsessionid=F86F5DA99DB202083D1F3427D71318C2.tplgfr37s_1?idArticle=LEGIARTI000037943779&amp;cidTexte=LEGITEXT000006069577&amp;dateTexte=201902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Barbet</dc:creator>
  <cp:keywords/>
  <dc:description/>
  <cp:lastModifiedBy>Jennifer Bastard</cp:lastModifiedBy>
  <cp:revision>29</cp:revision>
  <cp:lastPrinted>2019-01-23T11:37:00Z</cp:lastPrinted>
  <dcterms:created xsi:type="dcterms:W3CDTF">2019-01-31T17:17:00Z</dcterms:created>
  <dcterms:modified xsi:type="dcterms:W3CDTF">2019-02-27T08:35:00Z</dcterms:modified>
</cp:coreProperties>
</file>